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35" w:rsidRPr="00A95E01" w:rsidRDefault="008D65A1" w:rsidP="00EB5138">
      <w:pPr>
        <w:pStyle w:val="JRNCBody"/>
        <w:rPr>
          <w:rFonts w:cs="Arial"/>
          <w:b/>
          <w:bCs/>
          <w:kern w:val="28"/>
          <w:sz w:val="36"/>
          <w:szCs w:val="32"/>
          <w:lang w:val="en-US"/>
        </w:rPr>
      </w:pPr>
      <w:r w:rsidRPr="00A95E01">
        <w:rPr>
          <w:rFonts w:cs="Arial"/>
          <w:b/>
          <w:bCs/>
          <w:kern w:val="28"/>
          <w:sz w:val="36"/>
          <w:szCs w:val="32"/>
          <w:lang w:val="en-US"/>
        </w:rPr>
        <w:t>Accurate determination of plutonium by Controlled Potential Coulometry: uncertainty evaluation by the Monte Carlo Method approach</w:t>
      </w:r>
    </w:p>
    <w:p w:rsidR="0027128A" w:rsidRPr="00A95E01" w:rsidRDefault="0027128A" w:rsidP="00EB5138">
      <w:pPr>
        <w:pStyle w:val="JRNCBody"/>
        <w:rPr>
          <w:lang w:val="en-US"/>
        </w:rPr>
      </w:pPr>
      <w:r w:rsidRPr="00A95E01">
        <w:rPr>
          <w:lang w:val="en-US"/>
        </w:rPr>
        <w:t>Names of the authors:</w:t>
      </w:r>
      <w:r w:rsidR="00F21335" w:rsidRPr="00A95E01">
        <w:t xml:space="preserve"> </w:t>
      </w:r>
      <w:r w:rsidR="008D65A1" w:rsidRPr="00A95E01">
        <w:rPr>
          <w:lang w:val="en-US"/>
        </w:rPr>
        <w:t>Sébastien Picart, Marielle Crozet, Giacomo Canciani, Ygor Davrain, Louis Faure, Danièle Roudil.</w:t>
      </w:r>
    </w:p>
    <w:p w:rsidR="0027128A" w:rsidRPr="00A95E01" w:rsidRDefault="0027128A" w:rsidP="00EB5138">
      <w:pPr>
        <w:pStyle w:val="JRNCBody"/>
        <w:rPr>
          <w:lang w:val="en-US"/>
        </w:rPr>
      </w:pPr>
      <w:r w:rsidRPr="00A95E01">
        <w:rPr>
          <w:lang w:val="en-US"/>
        </w:rPr>
        <w:t>Title:</w:t>
      </w:r>
      <w:r w:rsidR="00F21335" w:rsidRPr="00A95E01">
        <w:t xml:space="preserve"> </w:t>
      </w:r>
      <w:r w:rsidR="008D65A1" w:rsidRPr="00A95E01">
        <w:rPr>
          <w:lang w:val="en-US"/>
        </w:rPr>
        <w:t>Accurate determination of plutonium by Controlled Potential Coulometry: uncertainty evaluation by the Monte Carlo Method approach</w:t>
      </w:r>
    </w:p>
    <w:p w:rsidR="00F21335" w:rsidRPr="00A95E01" w:rsidRDefault="0027128A" w:rsidP="008D65A1">
      <w:pPr>
        <w:pStyle w:val="JRNCBody"/>
        <w:rPr>
          <w:lang w:val="en-US"/>
        </w:rPr>
      </w:pPr>
      <w:r w:rsidRPr="00A95E01">
        <w:rPr>
          <w:lang w:val="en-US"/>
        </w:rPr>
        <w:t>Affiliation(s) and address(es) of the author(s):</w:t>
      </w:r>
      <w:r w:rsidR="008D65A1" w:rsidRPr="00A95E01">
        <w:rPr>
          <w:lang w:val="en-US"/>
        </w:rPr>
        <w:t xml:space="preserve"> CEA, DEN, DMRC, Univ Montpellier, Marcoule, France</w:t>
      </w:r>
      <w:r w:rsidR="00F21335" w:rsidRPr="00A95E01">
        <w:rPr>
          <w:lang w:val="en-US"/>
        </w:rPr>
        <w:t>,</w:t>
      </w:r>
    </w:p>
    <w:p w:rsidR="002C0EEB" w:rsidRPr="00A95E01" w:rsidRDefault="0027128A" w:rsidP="00EB5138">
      <w:pPr>
        <w:pStyle w:val="JRNCBody"/>
        <w:rPr>
          <w:lang w:val="en-US"/>
        </w:rPr>
      </w:pPr>
      <w:r w:rsidRPr="00A95E01">
        <w:rPr>
          <w:lang w:val="en-US"/>
        </w:rPr>
        <w:t xml:space="preserve">E-mail address </w:t>
      </w:r>
      <w:r w:rsidR="00EF063C" w:rsidRPr="00A95E01">
        <w:rPr>
          <w:lang w:val="en-US"/>
        </w:rPr>
        <w:t xml:space="preserve">of the </w:t>
      </w:r>
      <w:r w:rsidRPr="00A95E01">
        <w:rPr>
          <w:lang w:val="en-US"/>
        </w:rPr>
        <w:t>corresponding author:</w:t>
      </w:r>
      <w:r w:rsidR="00F21335" w:rsidRPr="00A95E01">
        <w:rPr>
          <w:lang w:val="en-US"/>
        </w:rPr>
        <w:t xml:space="preserve"> </w:t>
      </w:r>
      <w:r w:rsidR="008D65A1" w:rsidRPr="00A95E01">
        <w:rPr>
          <w:lang w:val="en-US"/>
        </w:rPr>
        <w:t>sebastien.picart@cea.fr</w:t>
      </w:r>
    </w:p>
    <w:p w:rsidR="0027128A" w:rsidRPr="00A95E01" w:rsidRDefault="0027128A" w:rsidP="00EB5138">
      <w:pPr>
        <w:pStyle w:val="JRNCTitle"/>
      </w:pPr>
      <w:r w:rsidRPr="00A95E01">
        <w:br w:type="page"/>
      </w:r>
      <w:r w:rsidR="008D65A1" w:rsidRPr="00A95E01">
        <w:lastRenderedPageBreak/>
        <w:t>Accurate determination of plutonium by Controlled Potential Coulometry: uncertainty evaluation by the Monte Carlo Method approach</w:t>
      </w:r>
    </w:p>
    <w:p w:rsidR="00D56D38" w:rsidRPr="00A95E01" w:rsidRDefault="008D65A1" w:rsidP="00341ABD">
      <w:pPr>
        <w:pStyle w:val="JRNCAuthors"/>
        <w:rPr>
          <w:lang w:val="fr-FR"/>
        </w:rPr>
      </w:pPr>
      <w:r w:rsidRPr="00A95E01">
        <w:rPr>
          <w:lang w:val="fr-FR"/>
        </w:rPr>
        <w:t>Sébastien Picart, Marielle Crozet, Giacomo Canciani, Ygor Davrain, Louis Faure, Danièle Roudil.</w:t>
      </w:r>
    </w:p>
    <w:p w:rsidR="00F21335" w:rsidRPr="00A95E01" w:rsidRDefault="00AB073E" w:rsidP="00341ABD">
      <w:pPr>
        <w:pStyle w:val="JRNCAffiliations"/>
        <w:rPr>
          <w:lang w:val="en-US"/>
        </w:rPr>
      </w:pPr>
      <w:r w:rsidRPr="00A95E01">
        <w:rPr>
          <w:lang w:val="en-US"/>
        </w:rPr>
        <w:t>CEA, DEN, DMRC, Univ Montpellier, Marcoule, France</w:t>
      </w:r>
    </w:p>
    <w:p w:rsidR="0027128A" w:rsidRPr="00A95E01" w:rsidRDefault="0027128A" w:rsidP="00F451D2">
      <w:pPr>
        <w:pStyle w:val="JRNCPrimarySectionTitle"/>
      </w:pPr>
      <w:r w:rsidRPr="00A95E01">
        <w:t>Abstract</w:t>
      </w:r>
    </w:p>
    <w:p w:rsidR="009F16A5" w:rsidRPr="00A95E01" w:rsidRDefault="00AB073E" w:rsidP="00F21335">
      <w:pPr>
        <w:pStyle w:val="JRNCAbstractBody"/>
      </w:pPr>
      <w:r w:rsidRPr="00A95E01">
        <w:t xml:space="preserve">The accurate determination of plutonium (Pu) mass fraction in nuclear materials is essential to nuclear matter accountancy and international safeguard programs. Controlled-Potential Coulometry (CPC) is one of the best available analytical methods to perform such measurements. </w:t>
      </w:r>
      <w:r w:rsidR="000C091A">
        <w:t>T</w:t>
      </w:r>
      <w:r w:rsidRPr="00A95E01">
        <w:t>he implementation of CPC at the Nuclear Matter Metrological Laboratory of the French Atomic Energy Commission (CEA) is described</w:t>
      </w:r>
      <w:r w:rsidR="000C091A">
        <w:t xml:space="preserve"> as well as</w:t>
      </w:r>
      <w:r w:rsidRPr="00A95E01">
        <w:t xml:space="preserve"> the evaluation of measurement uncertainty using two approaches: the Guide to the expression of uncertainty in measurement (GUM), and the Monte Carlo Method (MCM). The uncertainty values determined are compared to the international target values published by the International Atomic Energy Agency (IAEA).</w:t>
      </w:r>
    </w:p>
    <w:p w:rsidR="00FD22E2" w:rsidRPr="00A95E01" w:rsidRDefault="00FD22E2" w:rsidP="00F451D2">
      <w:pPr>
        <w:pStyle w:val="JRNCPrimarySectionTitle"/>
      </w:pPr>
      <w:r w:rsidRPr="00A95E01">
        <w:t>Keywords</w:t>
      </w:r>
    </w:p>
    <w:p w:rsidR="004C7E40" w:rsidRPr="00A95E01" w:rsidRDefault="00AB073E" w:rsidP="00AB073E">
      <w:pPr>
        <w:pStyle w:val="JRNCAbstractBody"/>
      </w:pPr>
      <w:r w:rsidRPr="00A95E01">
        <w:t>coulometry, plutonium, accuracy, uncertainty, Monte Carlo</w:t>
      </w:r>
      <w:r w:rsidR="000C091A">
        <w:t xml:space="preserve"> Method</w:t>
      </w:r>
    </w:p>
    <w:p w:rsidR="00AB073E" w:rsidRPr="00A95E01" w:rsidRDefault="00AB073E" w:rsidP="00AB073E">
      <w:pPr>
        <w:pStyle w:val="JRNCAbstractBody"/>
      </w:pPr>
    </w:p>
    <w:p w:rsidR="00AB073E" w:rsidRPr="00A95E01" w:rsidRDefault="00AB073E" w:rsidP="00AB073E">
      <w:pPr>
        <w:pStyle w:val="JRNCAbstractBody"/>
      </w:pPr>
    </w:p>
    <w:p w:rsidR="00AB073E" w:rsidRPr="00A95E01" w:rsidRDefault="00AB073E" w:rsidP="00AB073E">
      <w:pPr>
        <w:pStyle w:val="JRNCAbstractBody"/>
      </w:pPr>
    </w:p>
    <w:p w:rsidR="0076064C" w:rsidRPr="00A95E01" w:rsidRDefault="0076064C" w:rsidP="006410A7">
      <w:pPr>
        <w:pStyle w:val="JRNCPrimarySectionTitle"/>
      </w:pPr>
      <w:r w:rsidRPr="00A95E01">
        <w:lastRenderedPageBreak/>
        <w:t>Introduction</w:t>
      </w:r>
    </w:p>
    <w:p w:rsidR="00AB073E" w:rsidRPr="00A95E01" w:rsidRDefault="00AB073E" w:rsidP="000D7B2E">
      <w:pPr>
        <w:spacing w:line="360" w:lineRule="auto"/>
        <w:jc w:val="both"/>
      </w:pPr>
      <w:r w:rsidRPr="00A95E01">
        <w:t xml:space="preserve">The accurate determination of Pu mass fraction, in both nuclear materials and the spent fuel reprocessing cycle, is rendered mandatory due to the high accountability required by the element’s fissile nature. Indeed, nuclear organizations must always demonstrate an effective assessment of criticality and proliferation risks. As such, companies and institutions working with Pu need Certified Reference Materials (CRMs) in order to validate their analytical methods, calibrate equipment, and, above all, perform reliable and accurate content determinations. </w:t>
      </w:r>
      <w:r w:rsidRPr="00A95E01">
        <w:rPr>
          <w:lang w:val="en-GB"/>
        </w:rPr>
        <w:t>The production of</w:t>
      </w:r>
      <w:r w:rsidRPr="00A95E01">
        <w:t xml:space="preserve"> such CRMs requires highly accurate methods for characterizing and certifying Pu content. </w:t>
      </w:r>
    </w:p>
    <w:p w:rsidR="00AB073E" w:rsidRPr="00A95E01" w:rsidRDefault="00AB073E" w:rsidP="000D7B2E">
      <w:pPr>
        <w:spacing w:line="360" w:lineRule="auto"/>
        <w:jc w:val="both"/>
      </w:pPr>
      <w:r w:rsidRPr="00A95E01">
        <w:t>The techniques most commonly used for the determination of Pu with high levels of accuracy are Isotope Dilution Thermo-Ionization Mass Spectrometry (ID-TIMS), redox titrimetry, and Controlled-Potential Coulometry (CPC).</w:t>
      </w:r>
      <w:r w:rsidRPr="00A95E01">
        <w:rPr>
          <w:lang w:val="en-GB"/>
        </w:rPr>
        <w:t xml:space="preserve"> </w:t>
      </w:r>
      <w:r w:rsidRPr="00A95E01">
        <w:t xml:space="preserve">Of these three techniques, ID-TIMS uses a spike of enriched Pu to achieve measurements with uncertainties ranging between 0.17 and 0.28% </w:t>
      </w:r>
      <w:r w:rsidR="000B3A53">
        <w:t>using</w:t>
      </w:r>
      <w:r w:rsidR="00346B8D">
        <w:t xml:space="preserve"> very</w:t>
      </w:r>
      <w:r w:rsidR="00D222E9">
        <w:t xml:space="preserve"> low quantities of Pu (10-50</w:t>
      </w:r>
      <w:r w:rsidR="00346B8D">
        <w:t> </w:t>
      </w:r>
      <w:r w:rsidR="00D222E9">
        <w:t>ng per sample)</w:t>
      </w:r>
      <w:r w:rsidRPr="00A95E01">
        <w:t xml:space="preserve"> - in compliance with the International Target Values (ITVs-2010) published by the IAEA in 2010 </w:t>
      </w:r>
      <w:r w:rsidR="00345EBC" w:rsidRPr="00345EBC">
        <w:t>[1]</w:t>
      </w:r>
      <w:r w:rsidRPr="00A95E01">
        <w:t>- whilst titrimetry bases itself on redo</w:t>
      </w:r>
      <w:r w:rsidR="00346B8D">
        <w:t xml:space="preserve">x </w:t>
      </w:r>
      <w:r w:rsidRPr="00A95E01">
        <w:t xml:space="preserve">potentiometry and attains comparable levels of uncertainty </w:t>
      </w:r>
      <w:r w:rsidR="00346B8D" w:rsidRPr="00A95E01">
        <w:t xml:space="preserve">(0.21-0.28%, as reported both in literature </w:t>
      </w:r>
      <w:r w:rsidR="00346B8D" w:rsidRPr="00345EBC">
        <w:t>[2]</w:t>
      </w:r>
      <w:r w:rsidR="00346B8D" w:rsidRPr="00A95E01">
        <w:t xml:space="preserve"> and in the ITVs-2010)</w:t>
      </w:r>
      <w:r w:rsidR="00346B8D">
        <w:t xml:space="preserve"> </w:t>
      </w:r>
      <w:r w:rsidR="000B3A53">
        <w:t>using</w:t>
      </w:r>
      <w:r w:rsidR="00D222E9">
        <w:t xml:space="preserve"> a larger </w:t>
      </w:r>
      <w:r w:rsidR="00346B8D">
        <w:t>amount</w:t>
      </w:r>
      <w:r w:rsidR="00D222E9">
        <w:t xml:space="preserve"> of Pu material</w:t>
      </w:r>
      <w:r w:rsidR="00346B8D">
        <w:t xml:space="preserve"> (5-60 mg)</w:t>
      </w:r>
      <w:r w:rsidRPr="00A95E01">
        <w:t xml:space="preserve">. CPC, however, displays a vastly better performance for Pu determination, with measurement uncertainties not exceeding 0.1% </w:t>
      </w:r>
      <w:r w:rsidR="00CD6414" w:rsidRPr="00CD6414">
        <w:t>[3–5]</w:t>
      </w:r>
      <w:r w:rsidR="000B3A53">
        <w:t xml:space="preserve"> for plutonium quantities in the order of 4-15 mg</w:t>
      </w:r>
      <w:r w:rsidRPr="00A95E01">
        <w:t>.</w:t>
      </w:r>
      <w:bookmarkStart w:id="0" w:name="_GoBack"/>
      <w:bookmarkEnd w:id="0"/>
    </w:p>
    <w:p w:rsidR="00AB073E" w:rsidRPr="00A95E01" w:rsidRDefault="00AB073E" w:rsidP="000D7B2E">
      <w:pPr>
        <w:spacing w:line="360" w:lineRule="auto"/>
        <w:jc w:val="both"/>
      </w:pPr>
      <w:r w:rsidRPr="00A95E01">
        <w:rPr>
          <w:lang w:val="en-GB"/>
        </w:rPr>
        <w:t xml:space="preserve">The particularly low uncertainties of CPC can be attributed to the primary nature of the analytical method </w:t>
      </w:r>
      <w:r w:rsidR="00CD6414" w:rsidRPr="00CD6414">
        <w:t>[6]</w:t>
      </w:r>
      <w:r w:rsidRPr="00A95E01">
        <w:rPr>
          <w:lang w:val="en-GB"/>
        </w:rPr>
        <w:t xml:space="preserve">. Unlike ID-TIMS, CPC is not related to chemical standards but only to physical parameters such as time and </w:t>
      </w:r>
      <w:r w:rsidR="00CD6414" w:rsidRPr="00A95E01">
        <w:rPr>
          <w:lang w:val="en-GB"/>
        </w:rPr>
        <w:t>current, which</w:t>
      </w:r>
      <w:r w:rsidRPr="00A95E01">
        <w:rPr>
          <w:lang w:val="en-GB"/>
        </w:rPr>
        <w:t xml:space="preserve"> can be calibrated </w:t>
      </w:r>
      <w:r w:rsidRPr="00A95E01">
        <w:t xml:space="preserve">with higher accuracies </w:t>
      </w:r>
      <w:r w:rsidR="00CD6414" w:rsidRPr="00CD6414">
        <w:t>[7]</w:t>
      </w:r>
      <w:r w:rsidRPr="00A95E01">
        <w:t xml:space="preserve">. Beyond the low uncertainties, it is also important to note that CPC can be performed on small quantities of analyte </w:t>
      </w:r>
      <w:r w:rsidR="001E16BA" w:rsidRPr="001E16BA">
        <w:t>[8]</w:t>
      </w:r>
      <w:r w:rsidRPr="00A95E01">
        <w:t xml:space="preserve"> (typically, during routine analyses only a few milligrams of matter are used) and that it is a relatively facile technique to implement. These advantages have made CPC a particularly interesting technique for metrology laboratories which provide Pu CRMs such as the CEA’s Commission for the Establishment of Analytical Methods (CETAMA).</w:t>
      </w:r>
    </w:p>
    <w:p w:rsidR="00AB073E" w:rsidRPr="00A95E01" w:rsidRDefault="00AB073E" w:rsidP="000D7B2E">
      <w:pPr>
        <w:spacing w:line="360" w:lineRule="auto"/>
        <w:jc w:val="both"/>
      </w:pPr>
      <w:r w:rsidRPr="00A95E01">
        <w:lastRenderedPageBreak/>
        <w:t>Fundamentally, CPC is based on the measurement of a quantity of electricity, Q, involved in an electrochemical reaction (either oxidation or reduction) and is governed by Faraday’s law, which links the quantity of electricity to the quantity of an element in solution:</w:t>
      </w:r>
    </w:p>
    <w:p w:rsidR="00AB073E" w:rsidRPr="00A95E01" w:rsidRDefault="00AB073E" w:rsidP="009E490A">
      <w:pPr>
        <w:spacing w:line="360" w:lineRule="auto"/>
        <w:jc w:val="center"/>
        <w:rPr>
          <w:i/>
        </w:rPr>
      </w:pPr>
      <w:r w:rsidRPr="00A95E01">
        <w:rPr>
          <w:i/>
        </w:rPr>
        <w:t>m=Q M/(nF)</w:t>
      </w:r>
    </w:p>
    <w:p w:rsidR="00AB073E" w:rsidRPr="00A95E01" w:rsidRDefault="00AB073E" w:rsidP="000D7B2E">
      <w:pPr>
        <w:spacing w:line="360" w:lineRule="auto"/>
        <w:jc w:val="both"/>
      </w:pPr>
      <w:r w:rsidRPr="00A95E01">
        <w:t xml:space="preserve">Where </w:t>
      </w:r>
      <w:r w:rsidRPr="00A95E01">
        <w:rPr>
          <w:i/>
        </w:rPr>
        <w:t>m</w:t>
      </w:r>
      <w:r w:rsidRPr="00A95E01">
        <w:t xml:space="preserve"> is the mass of the studied element in g, </w:t>
      </w:r>
      <w:r w:rsidRPr="00A95E01">
        <w:rPr>
          <w:i/>
        </w:rPr>
        <w:t>M</w:t>
      </w:r>
      <w:r w:rsidRPr="00A95E01">
        <w:t xml:space="preserve"> is the molar mass of the element (M=239.075 g/mol for the Pu sample of interest), </w:t>
      </w:r>
      <w:r w:rsidRPr="00A95E01">
        <w:rPr>
          <w:i/>
        </w:rPr>
        <w:t>n</w:t>
      </w:r>
      <w:r w:rsidRPr="00A95E01">
        <w:t xml:space="preserve"> is the number of electrons exchanged during the electrochemical reaction (</w:t>
      </w:r>
      <w:r w:rsidRPr="00A95E01">
        <w:rPr>
          <w:i/>
        </w:rPr>
        <w:t>n</w:t>
      </w:r>
      <w:r w:rsidRPr="00A95E01">
        <w:t>=1 in the case of the Pu</w:t>
      </w:r>
      <w:r w:rsidR="009E490A" w:rsidRPr="00A95E01">
        <w:t>(IV)</w:t>
      </w:r>
      <w:r w:rsidRPr="00A95E01">
        <w:t>/Pu</w:t>
      </w:r>
      <w:r w:rsidR="009E490A" w:rsidRPr="00A95E01">
        <w:t>(III)</w:t>
      </w:r>
      <w:r w:rsidRPr="00A95E01">
        <w:t xml:space="preserve">redox pair), and </w:t>
      </w:r>
      <w:r w:rsidRPr="00A95E01">
        <w:rPr>
          <w:i/>
        </w:rPr>
        <w:t>F</w:t>
      </w:r>
      <w:r w:rsidRPr="00A95E01">
        <w:t xml:space="preserve"> is Faraday’s constant (96485.33212 C/mol) </w:t>
      </w:r>
      <w:r w:rsidR="001E16BA" w:rsidRPr="001E16BA">
        <w:t>[9]</w:t>
      </w:r>
      <w:r w:rsidRPr="00A95E01">
        <w:t>.</w:t>
      </w:r>
    </w:p>
    <w:p w:rsidR="00AB073E" w:rsidRPr="00A95E01" w:rsidRDefault="00AB073E" w:rsidP="000D7B2E">
      <w:pPr>
        <w:shd w:val="clear" w:color="auto" w:fill="FFFFFF" w:themeFill="background1"/>
        <w:spacing w:line="360" w:lineRule="auto"/>
        <w:jc w:val="both"/>
      </w:pPr>
      <w:r w:rsidRPr="00A95E01">
        <w:t xml:space="preserve">Experimentally, </w:t>
      </w:r>
      <w:r w:rsidRPr="00A95E01">
        <w:rPr>
          <w:i/>
        </w:rPr>
        <w:t>Q</w:t>
      </w:r>
      <w:r w:rsidRPr="00A95E01">
        <w:t xml:space="preserve"> is measured by integrating the current flowing during the oxidation of Pu</w:t>
      </w:r>
      <w:r w:rsidR="00643CAF" w:rsidRPr="00A95E01">
        <w:t>(III)</w:t>
      </w:r>
      <w:r w:rsidRPr="00A95E01">
        <w:t xml:space="preserve"> into Pu</w:t>
      </w:r>
      <w:r w:rsidR="00643CAF" w:rsidRPr="00A95E01">
        <w:t>(IV)</w:t>
      </w:r>
      <w:r w:rsidRPr="00A95E01">
        <w:t>. In order to obtain a selective reaction, it is necessary to work with a controlled potential applied by a potentiostat in combination with a three electrode electrochemical set-up. The working electrode material and the electrolyte must be carefully chosen in order to minimize interferences. In the case of Pu, a gold electrode, a pure Pu nitrate solution, and a 0.9 mol/L nitric acid electrolyte are recommended</w:t>
      </w:r>
      <w:r w:rsidR="001E16BA">
        <w:t xml:space="preserve"> </w:t>
      </w:r>
      <w:r w:rsidR="001E16BA" w:rsidRPr="001E16BA">
        <w:t>[8]</w:t>
      </w:r>
      <w:r w:rsidRPr="00A95E01">
        <w:t>. As every step of the procedure, from sample preparation to signal integration, contributes to the overall uncertainty of the final measurement result, these steps must be carefully controlled and optimized when seeking a high degree of accuracy. As such, an appropriate understanding and calculation of the uncertainties involved in the technique is essential if CPC analysis is to be performed at high accuracies.</w:t>
      </w:r>
    </w:p>
    <w:p w:rsidR="00AB073E" w:rsidRPr="00A95E01" w:rsidRDefault="00AB073E" w:rsidP="000D7B2E">
      <w:pPr>
        <w:spacing w:line="360" w:lineRule="auto"/>
        <w:jc w:val="both"/>
      </w:pPr>
      <w:r w:rsidRPr="00A95E01">
        <w:t xml:space="preserve">The present work aims to achieve a deeper understanding of the technique as well as providing a method for the treatment of the uncertainties involved in CPC analysis. The study recalls the key points of the method and discusses the uncertainty budget estimations through the GUM </w:t>
      </w:r>
      <w:bookmarkStart w:id="1" w:name="_Ref14785127"/>
      <w:r w:rsidR="00A47BE9" w:rsidRPr="00A47BE9">
        <w:t>[10]</w:t>
      </w:r>
      <w:bookmarkEnd w:id="1"/>
      <w:r w:rsidRPr="00A95E01">
        <w:t xml:space="preserve"> and the Monte Carlo Method (MCM) approaches </w:t>
      </w:r>
      <w:r w:rsidR="006E65F3" w:rsidRPr="006E65F3">
        <w:t>[11, 12]</w:t>
      </w:r>
      <w:r w:rsidRPr="00A95E01">
        <w:t>. The MCM method has the advantage of avoiding assumptions with regards to the distribution law of the measurement result. Through this approach, this work gives an evaluation of the performance (trueness and precision) of CPC analysis for Pu determination at the CETAMA’s metrological laboratory of Nuclear Matter (LAMMAN).</w:t>
      </w:r>
    </w:p>
    <w:p w:rsidR="00AB073E" w:rsidRPr="00A95E01" w:rsidRDefault="00AB073E" w:rsidP="000D7B2E">
      <w:pPr>
        <w:spacing w:line="360" w:lineRule="auto"/>
        <w:jc w:val="both"/>
      </w:pPr>
    </w:p>
    <w:p w:rsidR="00AB073E" w:rsidRPr="00A95E01" w:rsidRDefault="00AB073E" w:rsidP="000D7B2E">
      <w:pPr>
        <w:pStyle w:val="JRNCPrimarySectionTitle"/>
        <w:rPr>
          <w:lang w:val="en-GB"/>
        </w:rPr>
      </w:pPr>
      <w:r w:rsidRPr="00A95E01">
        <w:rPr>
          <w:lang w:val="en-GB"/>
        </w:rPr>
        <w:t>Experimental and Methods</w:t>
      </w:r>
    </w:p>
    <w:p w:rsidR="00AB073E" w:rsidRPr="00A95E01" w:rsidRDefault="00AB073E" w:rsidP="000D7B2E">
      <w:pPr>
        <w:pStyle w:val="JRNCBody"/>
        <w:rPr>
          <w:sz w:val="28"/>
          <w:szCs w:val="24"/>
          <w:lang w:val="en-US"/>
        </w:rPr>
      </w:pPr>
      <w:r w:rsidRPr="00A95E01">
        <w:rPr>
          <w:sz w:val="28"/>
          <w:szCs w:val="24"/>
          <w:lang w:val="en-US"/>
        </w:rPr>
        <w:lastRenderedPageBreak/>
        <w:t>Chemicals</w:t>
      </w:r>
    </w:p>
    <w:p w:rsidR="00AB073E" w:rsidRPr="00A95E01" w:rsidRDefault="00AB073E" w:rsidP="000D7B2E">
      <w:pPr>
        <w:spacing w:line="360" w:lineRule="auto"/>
        <w:jc w:val="both"/>
      </w:pPr>
      <w:r w:rsidRPr="00A95E01">
        <w:t xml:space="preserve">All chemical reagents were of analytical grade, concentrated nitric acid (Merck, 65% Suprapur), concentrated sulfuric acid (Merck, 95-97% for analysis), sulfamic acid (Merck, Emsure, </w:t>
      </w:r>
      <w:r w:rsidRPr="00A95E01">
        <w:sym w:font="Symbol" w:char="F0B3"/>
      </w:r>
      <w:r w:rsidRPr="00A95E01">
        <w:t>99.0%), and hydrogen peroxide (Merck, 30%, Suprapur).</w:t>
      </w:r>
    </w:p>
    <w:p w:rsidR="00AB073E" w:rsidRPr="00A95E01" w:rsidRDefault="00AB073E" w:rsidP="000D7B2E">
      <w:pPr>
        <w:spacing w:line="360" w:lineRule="auto"/>
        <w:jc w:val="both"/>
      </w:pPr>
      <w:r w:rsidRPr="00A95E01">
        <w:t>All diluted solution were prepared using deionized water (resistivity&gt;18 M</w:t>
      </w:r>
      <w:r w:rsidRPr="00A95E01">
        <w:sym w:font="Symbol" w:char="F057"/>
      </w:r>
      <w:r w:rsidRPr="00A95E01">
        <w:t xml:space="preserve"> cm).</w:t>
      </w:r>
    </w:p>
    <w:p w:rsidR="00AB073E" w:rsidRPr="00A95E01" w:rsidRDefault="00AB073E" w:rsidP="000D7B2E">
      <w:pPr>
        <w:spacing w:line="360" w:lineRule="auto"/>
        <w:jc w:val="both"/>
      </w:pPr>
      <w:r w:rsidRPr="00A95E01">
        <w:t xml:space="preserve">Pu solutions were prepared by diluting an “EQRAIN Pu N°14” standard solution of Pu nitrate provided by the CETAMA’s LAMMAN (vial # S007) and are traceable to the MP2 Pu metal certified reference material (CRM). The reference value of Pu mass fraction in the sample is (5.5326 ± 0.0066) g/kg (uncertainty determined with a coverage factor </w:t>
      </w:r>
      <w:r w:rsidRPr="00A95E01">
        <w:rPr>
          <w:i/>
        </w:rPr>
        <w:t>k=2</w:t>
      </w:r>
      <w:r w:rsidRPr="00A95E01">
        <w:t>) on the date of fabrication (March 20</w:t>
      </w:r>
      <w:r w:rsidRPr="00A95E01">
        <w:rPr>
          <w:vertAlign w:val="superscript"/>
        </w:rPr>
        <w:t>th</w:t>
      </w:r>
      <w:r w:rsidRPr="00A95E01">
        <w:t xml:space="preserve"> 2017). The “EQRAIN Pu N°14” solution density is (1144.64 ± 0.12) kg/m</w:t>
      </w:r>
      <w:r w:rsidRPr="00A95E01">
        <w:rPr>
          <w:vertAlign w:val="superscript"/>
        </w:rPr>
        <w:t>3</w:t>
      </w:r>
      <w:r w:rsidRPr="00A95E01">
        <w:t xml:space="preserve"> (</w:t>
      </w:r>
      <w:r w:rsidRPr="00A95E01">
        <w:rPr>
          <w:i/>
        </w:rPr>
        <w:t>k=2</w:t>
      </w:r>
      <w:r w:rsidRPr="00A95E01">
        <w:t>) at 20°C. To calculate the molar mass of Pu at the date of analysis (May 2018), the MP2 isotopy and the Pu isotope’s decay were taken into account. From this, the molar mass was evaluated to be (239.07458±0.00001) g/mol (</w:t>
      </w:r>
      <w:r w:rsidRPr="00A95E01">
        <w:rPr>
          <w:i/>
        </w:rPr>
        <w:t>k=2</w:t>
      </w:r>
      <w:r w:rsidRPr="00A95E01">
        <w:t>).</w:t>
      </w:r>
    </w:p>
    <w:p w:rsidR="00AB073E" w:rsidRPr="00A95E01" w:rsidRDefault="00AB073E" w:rsidP="000D7B2E">
      <w:pPr>
        <w:pStyle w:val="JRNCBody"/>
        <w:rPr>
          <w:sz w:val="28"/>
          <w:szCs w:val="24"/>
          <w:lang w:val="en-US"/>
        </w:rPr>
      </w:pPr>
      <w:r w:rsidRPr="00A95E01">
        <w:rPr>
          <w:sz w:val="28"/>
          <w:szCs w:val="24"/>
          <w:lang w:val="en-US"/>
        </w:rPr>
        <w:t>Coulometric set-up</w:t>
      </w:r>
    </w:p>
    <w:p w:rsidR="00AB073E" w:rsidRPr="00A95E01" w:rsidRDefault="00AB073E" w:rsidP="000D7B2E">
      <w:pPr>
        <w:spacing w:line="360" w:lineRule="auto"/>
        <w:jc w:val="both"/>
      </w:pPr>
      <w:r w:rsidRPr="00A95E01">
        <w:t>The electrolysis cell used for CPC consisted of a three-electrode system (EG&amp;G Model 377A coulometry cell system) mounted with a gold-gauze working electrode (Au, 99.99% pure, manufactured by Heraeus. Germany) with a very large surface area (diameter 3.5 cm, height 2 cm, four layers of 100 mesh per cm</w:t>
      </w:r>
      <w:r w:rsidRPr="00A95E01">
        <w:rPr>
          <w:vertAlign w:val="superscript"/>
        </w:rPr>
        <w:t>2</w:t>
      </w:r>
      <w:r w:rsidRPr="00A95E01">
        <w:t xml:space="preserve"> grid, total surface evaluated at (123 ± 5) cm</w:t>
      </w:r>
      <w:r w:rsidRPr="00A95E01">
        <w:rPr>
          <w:vertAlign w:val="superscript"/>
        </w:rPr>
        <w:t>2</w:t>
      </w:r>
      <w:r w:rsidRPr="00A95E01">
        <w:t xml:space="preserve"> by cyclic voltammetry performed on a iron standard solution), a saturated calomel reference electrode (SCE, EG&amp;G Model K007) and a platinum counter-electrode (CE) made of a mesh welded to a wire (Fig</w:t>
      </w:r>
      <w:r w:rsidR="00643CAF" w:rsidRPr="00A95E01">
        <w:t>.</w:t>
      </w:r>
      <w:r w:rsidRPr="00A95E01">
        <w:t xml:space="preserve"> 1).</w:t>
      </w:r>
    </w:p>
    <w:p w:rsidR="00AB073E" w:rsidRPr="00A95E01" w:rsidRDefault="00AB073E" w:rsidP="000D7B2E">
      <w:pPr>
        <w:spacing w:line="360" w:lineRule="auto"/>
        <w:jc w:val="center"/>
      </w:pPr>
      <w:r w:rsidRPr="00A95E01">
        <w:rPr>
          <w:noProof/>
          <w:lang w:val="fr-FR" w:eastAsia="fr-FR"/>
        </w:rPr>
        <w:drawing>
          <wp:inline distT="0" distB="0" distL="0" distR="0" wp14:anchorId="0DB8FB94" wp14:editId="0C9815F0">
            <wp:extent cx="3093908" cy="1770107"/>
            <wp:effectExtent l="0" t="0" r="0" b="1905"/>
            <wp:docPr id="10" name="Image 10" descr="O:\Personnel\2019-Archive-Sébastien Picart\Publi\PubliCoulo\Cellule Coulo- 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sonnel\2019-Archive-Sébastien Picart\Publi\PubliCoulo\Cellule Coulo- en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9763" cy="1773457"/>
                    </a:xfrm>
                    <a:prstGeom prst="rect">
                      <a:avLst/>
                    </a:prstGeom>
                    <a:noFill/>
                    <a:ln>
                      <a:noFill/>
                    </a:ln>
                  </pic:spPr>
                </pic:pic>
              </a:graphicData>
            </a:graphic>
          </wp:inline>
        </w:drawing>
      </w:r>
    </w:p>
    <w:p w:rsidR="00AB073E" w:rsidRPr="00A95E01" w:rsidRDefault="00AB073E" w:rsidP="000D7B2E">
      <w:pPr>
        <w:spacing w:line="360" w:lineRule="auto"/>
        <w:jc w:val="center"/>
      </w:pPr>
      <w:r w:rsidRPr="00A95E01">
        <w:rPr>
          <w:b/>
        </w:rPr>
        <w:t>Fig</w:t>
      </w:r>
      <w:r w:rsidR="00643CAF" w:rsidRPr="00A95E01">
        <w:rPr>
          <w:b/>
        </w:rPr>
        <w:t>. 1</w:t>
      </w:r>
      <w:r w:rsidR="00643CAF" w:rsidRPr="00A95E01">
        <w:t xml:space="preserve"> Coulometric set-up</w:t>
      </w:r>
    </w:p>
    <w:p w:rsidR="00AB073E" w:rsidRPr="00A95E01" w:rsidRDefault="00AB073E" w:rsidP="000D7B2E">
      <w:pPr>
        <w:spacing w:line="360" w:lineRule="auto"/>
        <w:jc w:val="center"/>
      </w:pPr>
    </w:p>
    <w:p w:rsidR="00AB073E" w:rsidRPr="00A95E01" w:rsidRDefault="00AB073E" w:rsidP="000D7B2E">
      <w:pPr>
        <w:spacing w:line="360" w:lineRule="auto"/>
        <w:jc w:val="both"/>
      </w:pPr>
      <w:r w:rsidRPr="00A95E01">
        <w:t>Each assay was composed of 30 mL of HNO</w:t>
      </w:r>
      <w:r w:rsidRPr="00A95E01">
        <w:rPr>
          <w:vertAlign w:val="subscript"/>
        </w:rPr>
        <w:t>3</w:t>
      </w:r>
      <w:r w:rsidRPr="00A95E01">
        <w:t xml:space="preserve"> (0.9 mol/L) to which a few drops of sulfamic acid (1.5 mol/L, approximately 100 µL) were added.</w:t>
      </w:r>
    </w:p>
    <w:p w:rsidR="00AB073E" w:rsidRPr="00A95E01" w:rsidRDefault="00AB073E" w:rsidP="000D7B2E">
      <w:pPr>
        <w:spacing w:line="360" w:lineRule="auto"/>
        <w:jc w:val="both"/>
      </w:pPr>
      <w:r w:rsidRPr="00A95E01">
        <w:t>In order to avoid the transport of products between the working electrode and the CE, as well as to minimize the poisoning of analyzed solutions by the reference electrode filling solutions, the SCE and CE were placed in electrolytic compartments separate from the analyzed solution. Vycor® membranes were used to establish an electrolytic junction between these secondary compartments and the central compartment as well as to ensure ultra-low leakage rates. The medium of the two separate compartments was the same as the medium of the assay (HNO</w:t>
      </w:r>
      <w:r w:rsidRPr="00A95E01">
        <w:rPr>
          <w:vertAlign w:val="subscript"/>
        </w:rPr>
        <w:t>3</w:t>
      </w:r>
      <w:r w:rsidRPr="00A95E01">
        <w:t>, 0.9 mol/L).</w:t>
      </w:r>
    </w:p>
    <w:p w:rsidR="00AB073E" w:rsidRPr="00A95E01" w:rsidRDefault="00AB073E" w:rsidP="000D7B2E">
      <w:pPr>
        <w:spacing w:line="360" w:lineRule="auto"/>
        <w:jc w:val="both"/>
      </w:pPr>
      <w:r w:rsidRPr="00A95E01">
        <w:t>During analysis, a homogeneous solution was maintained by constant mixing with a paddle-type stirrer (EG&amp;G Model 377 synchronous stirring motor) made of glass with a morphology optimized to avoid the risk of splashing. Finally, an argon degassing system allowed to remove dissolved oxygen from the solution. A bubbler was installed upstream from the electrochemical cell in order to saturate the gas with water and prevent the medium from drying out.</w:t>
      </w:r>
    </w:p>
    <w:p w:rsidR="00AB073E" w:rsidRPr="00A95E01" w:rsidRDefault="00AB073E" w:rsidP="00441E4C">
      <w:pPr>
        <w:spacing w:line="360" w:lineRule="auto"/>
        <w:jc w:val="both"/>
      </w:pPr>
      <w:r w:rsidRPr="00A95E01">
        <w:t xml:space="preserve">The electrical component of the CPC set-up consisted of a PAR 263A potentiostat coupled to a high-precision current integrator previously described by Ruas et al </w:t>
      </w:r>
      <w:r w:rsidR="006E65F3" w:rsidRPr="006E65F3">
        <w:t>[3]</w:t>
      </w:r>
      <w:r w:rsidRPr="00A95E01">
        <w:t xml:space="preserve">. Calibration of the analogical-digital converter was performed using a high accuracy resistance (Vishay, RCK04 model, 20 </w:t>
      </w:r>
      <w:r w:rsidRPr="00A95E01">
        <w:rPr>
          <w:rFonts w:ascii="Arial" w:hAnsi="Arial" w:cs="Arial"/>
        </w:rPr>
        <w:t>Ω</w:t>
      </w:r>
      <w:r w:rsidRPr="00A95E01">
        <w:t xml:space="preserve"> ± 0.01%) and a high accuracy current generator from AOIP (SN8310 calibrator, from 1 nA to 110 mA with uncertainty of 0.002%) of  which the accuracy is periodically verified.</w:t>
      </w:r>
    </w:p>
    <w:p w:rsidR="00AB073E" w:rsidRPr="00A95E01" w:rsidRDefault="00AB073E" w:rsidP="000D7B2E">
      <w:pPr>
        <w:pStyle w:val="JRNCBody"/>
        <w:rPr>
          <w:sz w:val="28"/>
          <w:szCs w:val="24"/>
          <w:lang w:val="en-US"/>
        </w:rPr>
      </w:pPr>
      <w:r w:rsidRPr="00A95E01">
        <w:rPr>
          <w:sz w:val="28"/>
          <w:szCs w:val="24"/>
          <w:lang w:val="en-US"/>
        </w:rPr>
        <w:t>Procedure</w:t>
      </w:r>
    </w:p>
    <w:p w:rsidR="00AB073E" w:rsidRPr="00A95E01" w:rsidRDefault="00AB073E" w:rsidP="00441E4C">
      <w:pPr>
        <w:spacing w:line="360" w:lineRule="auto"/>
        <w:jc w:val="both"/>
      </w:pPr>
      <w:r w:rsidRPr="00A95E01">
        <w:t xml:space="preserve">The experimental protocol used during experiments was adapted from the ISO 12183 standard </w:t>
      </w:r>
      <w:r w:rsidR="006E65F3" w:rsidRPr="006E65F3">
        <w:t>[5]</w:t>
      </w:r>
      <w:r w:rsidRPr="00A95E01">
        <w:t xml:space="preserve"> as well as from previous literature studies </w:t>
      </w:r>
      <w:r w:rsidR="006E65F3" w:rsidRPr="006E65F3">
        <w:t>[3, 8, 13]</w:t>
      </w:r>
      <w:r w:rsidRPr="00A95E01">
        <w:t>. It can be expressed by six stages:</w:t>
      </w:r>
    </w:p>
    <w:p w:rsidR="00AB073E" w:rsidRPr="00A95E01" w:rsidRDefault="00AB073E" w:rsidP="00441E4C">
      <w:pPr>
        <w:pStyle w:val="JRNCBody"/>
        <w:rPr>
          <w:u w:val="single"/>
        </w:rPr>
      </w:pPr>
      <w:r w:rsidRPr="00A95E01">
        <w:rPr>
          <w:i/>
          <w:sz w:val="28"/>
          <w:szCs w:val="28"/>
          <w:lang w:val="en-US"/>
        </w:rPr>
        <w:t>Sampling and dilution</w:t>
      </w:r>
    </w:p>
    <w:p w:rsidR="00AB073E" w:rsidRPr="00A95E01" w:rsidRDefault="00AB073E" w:rsidP="00441E4C">
      <w:pPr>
        <w:spacing w:line="360" w:lineRule="auto"/>
        <w:jc w:val="both"/>
      </w:pPr>
      <w:r w:rsidRPr="00A95E01">
        <w:lastRenderedPageBreak/>
        <w:t xml:space="preserve">In the case of concentrated Pu solution, it may be necessary to perform a dilution by weight on the sample before analysis in order to weigh a mass greater than 1 g for each aliquot and therefore limit the weighing relative error to less than 0.01% (standard uncertainty, </w:t>
      </w:r>
      <w:r w:rsidRPr="00A95E01">
        <w:rPr>
          <w:i/>
        </w:rPr>
        <w:t>k=1</w:t>
      </w:r>
      <w:r w:rsidRPr="00A95E01">
        <w:t xml:space="preserve">) </w:t>
      </w:r>
      <w:r w:rsidR="000D6782" w:rsidRPr="000D6782">
        <w:t>[5, 13, 14]</w:t>
      </w:r>
      <w:r w:rsidRPr="00A95E01">
        <w:t>. Indeed, care must be taken whilst measuring the apparent mass of the solution aliquot to reach the desired uncertainty target of 0.01%.</w:t>
      </w:r>
    </w:p>
    <w:p w:rsidR="00AB073E" w:rsidRPr="00A95E01" w:rsidRDefault="00AB073E" w:rsidP="00441E4C">
      <w:pPr>
        <w:spacing w:line="360" w:lineRule="auto"/>
        <w:jc w:val="both"/>
      </w:pPr>
      <w:r w:rsidRPr="00A95E01">
        <w:t>Weighing was performed on a Metler Toledo XP205 analytical scale with maximum capacity of 200 g and a Maximum Permissible Error (</w:t>
      </w:r>
      <w:r w:rsidRPr="00A95E01">
        <w:rPr>
          <w:i/>
        </w:rPr>
        <w:t>MPE</w:t>
      </w:r>
      <w:r w:rsidRPr="00A95E01">
        <w:t>) of 1 mg in the range 0-50 g and 2 mg in the range 50-200 g.</w:t>
      </w:r>
    </w:p>
    <w:p w:rsidR="00AB073E" w:rsidRPr="00A95E01" w:rsidRDefault="00AB073E" w:rsidP="00441E4C">
      <w:pPr>
        <w:spacing w:line="360" w:lineRule="auto"/>
        <w:jc w:val="both"/>
      </w:pPr>
      <w:r w:rsidRPr="00A95E01">
        <w:t>In the present work, a sample with an initial Pu concentration close to 5 g/L was diluted by weight with HNO</w:t>
      </w:r>
      <w:r w:rsidRPr="00A95E01">
        <w:rPr>
          <w:vertAlign w:val="subscript"/>
        </w:rPr>
        <w:t>3</w:t>
      </w:r>
      <w:r w:rsidRPr="00A95E01">
        <w:t xml:space="preserve"> (0.9 mol/L) by a factor of approximately 5 prior to analysis (i.e. approximately 13 mL of standard solution were diluted in 40 mL of 0.9 mol/L HNO</w:t>
      </w:r>
      <w:r w:rsidRPr="00A95E01">
        <w:rPr>
          <w:vertAlign w:val="subscript"/>
        </w:rPr>
        <w:t>3</w:t>
      </w:r>
      <w:r w:rsidRPr="00A95E01">
        <w:t xml:space="preserve">). During the experiment, every measurement performed with the analytical scale was corrected for air buoyancy in order to avoid a systematic error. For this study, each solution aliquot had a mass of about 4 g (which is comparable to typical values reported by Holland and co-workers </w:t>
      </w:r>
      <w:r w:rsidR="000D6782" w:rsidRPr="000D6782">
        <w:t>[14]</w:t>
      </w:r>
      <w:r w:rsidRPr="00A95E01">
        <w:t xml:space="preserve">) and, as such, the equivalent mass of Pu in the aliquot was about 6 mg (which corresponds to the range of 5-10 mg Pu usually recommended for Pu analysis </w:t>
      </w:r>
      <w:r w:rsidR="000D6782" w:rsidRPr="000D6782">
        <w:t>[13]</w:t>
      </w:r>
      <w:r w:rsidRPr="00A95E01">
        <w:t>).</w:t>
      </w:r>
    </w:p>
    <w:p w:rsidR="00AB073E" w:rsidRPr="00A95E01" w:rsidRDefault="00AB073E" w:rsidP="00441E4C">
      <w:pPr>
        <w:pStyle w:val="JRNCBody"/>
        <w:rPr>
          <w:u w:val="single"/>
        </w:rPr>
      </w:pPr>
      <w:r w:rsidRPr="00A95E01">
        <w:rPr>
          <w:i/>
          <w:sz w:val="28"/>
          <w:szCs w:val="28"/>
          <w:lang w:val="en-US"/>
        </w:rPr>
        <w:t>Fuming</w:t>
      </w:r>
    </w:p>
    <w:p w:rsidR="00AB073E" w:rsidRPr="00A95E01" w:rsidRDefault="00AB073E" w:rsidP="00441E4C">
      <w:pPr>
        <w:spacing w:line="360" w:lineRule="auto"/>
        <w:jc w:val="both"/>
      </w:pPr>
      <w:r w:rsidRPr="00A95E01">
        <w:t xml:space="preserve">Samples of the Pu diluted reference solution, prepared as described in the previous step, were weighed directly in the coulometric glass cells used for analysis by using an analytical scale. Sulfuric acid (1 ml, 3 mol/L) was added to the coulometric cells in order to stabilize the Pu in the form of Pu(IV) sulfate crystals and to allow elimination of potential chloride, fluoride, nitrogen, and volatile organic compound impurities in the solutions as well as to prevent the formation of insoluble plutonium dioxide </w:t>
      </w:r>
      <w:r w:rsidR="000D6782" w:rsidRPr="000D6782">
        <w:t>[13]</w:t>
      </w:r>
      <w:r w:rsidRPr="00A95E01">
        <w:t>. A few drops of hydrogen peroxide solution (30% v/v) were further added to each cell (approximately 100 µL) to reduce any Pu</w:t>
      </w:r>
      <w:r w:rsidR="00643CAF" w:rsidRPr="00A95E01">
        <w:t>(VI)</w:t>
      </w:r>
      <w:r w:rsidRPr="00A95E01">
        <w:t xml:space="preserve"> potentially present in solution and adjust Pu oxidation state to IV. The prepared solutions, left to homogenize and react overnight, were finally fumed to dryness under a nitrogen gas sweep.</w:t>
      </w:r>
    </w:p>
    <w:p w:rsidR="00AB073E" w:rsidRPr="00A95E01" w:rsidRDefault="00AB073E" w:rsidP="00441E4C">
      <w:pPr>
        <w:spacing w:line="360" w:lineRule="auto"/>
        <w:jc w:val="both"/>
      </w:pPr>
      <w:r w:rsidRPr="00A95E01">
        <w:t>Furthermore, it is important to note that the conversion of the Pu into Pu(SO</w:t>
      </w:r>
      <w:r w:rsidRPr="00A95E01">
        <w:rPr>
          <w:vertAlign w:val="subscript"/>
        </w:rPr>
        <w:t>4</w:t>
      </w:r>
      <w:r w:rsidRPr="00A95E01">
        <w:t>)</w:t>
      </w:r>
      <w:r w:rsidRPr="00A95E01">
        <w:rPr>
          <w:vertAlign w:val="subscript"/>
        </w:rPr>
        <w:t>2</w:t>
      </w:r>
      <w:r w:rsidRPr="00A95E01">
        <w:t xml:space="preserve"> allows to generate salts which can be redissolved easily in molar nitric acid </w:t>
      </w:r>
      <w:r w:rsidR="00372086" w:rsidRPr="00372086">
        <w:t>[15, 16]</w:t>
      </w:r>
      <w:r w:rsidR="00372086">
        <w:t xml:space="preserve"> </w:t>
      </w:r>
      <w:r w:rsidRPr="00A95E01">
        <w:t>prior to analysis.</w:t>
      </w:r>
    </w:p>
    <w:p w:rsidR="00AB073E" w:rsidRPr="00A95E01" w:rsidRDefault="00AB073E" w:rsidP="00441E4C">
      <w:pPr>
        <w:pStyle w:val="JRNCBody"/>
        <w:rPr>
          <w:u w:val="single"/>
        </w:rPr>
      </w:pPr>
      <w:r w:rsidRPr="00A95E01">
        <w:rPr>
          <w:i/>
          <w:sz w:val="28"/>
          <w:szCs w:val="28"/>
          <w:lang w:val="en-US"/>
        </w:rPr>
        <w:lastRenderedPageBreak/>
        <w:t>Electrical calibration</w:t>
      </w:r>
    </w:p>
    <w:p w:rsidR="00AB073E" w:rsidRPr="00A95E01" w:rsidRDefault="00AB073E" w:rsidP="00441E4C">
      <w:pPr>
        <w:spacing w:line="360" w:lineRule="auto"/>
        <w:jc w:val="both"/>
      </w:pPr>
      <w:r w:rsidRPr="00A95E01">
        <w:t>A calibration of the analog-to-digital converter used for current integration was performed by a high precision current calibrator and allowed to apply appropriate corrections to the reading of integrated current measured during experiments.</w:t>
      </w:r>
    </w:p>
    <w:p w:rsidR="00AB073E" w:rsidRPr="00A95E01" w:rsidRDefault="00AB073E" w:rsidP="00441E4C">
      <w:pPr>
        <w:pStyle w:val="JRNCBody"/>
        <w:rPr>
          <w:u w:val="single"/>
        </w:rPr>
      </w:pPr>
      <w:r w:rsidRPr="00A95E01">
        <w:rPr>
          <w:i/>
          <w:sz w:val="28"/>
          <w:szCs w:val="28"/>
          <w:lang w:val="en-US"/>
        </w:rPr>
        <w:t>Electrode pre-treatment</w:t>
      </w:r>
    </w:p>
    <w:p w:rsidR="00AB073E" w:rsidRPr="00A95E01" w:rsidRDefault="00AB073E" w:rsidP="00441E4C">
      <w:pPr>
        <w:spacing w:line="360" w:lineRule="auto"/>
        <w:jc w:val="both"/>
      </w:pPr>
      <w:r w:rsidRPr="00A95E01">
        <w:t xml:space="preserve">The gold working electrode was stored in 8 mol/L nitric acid when not in use. </w:t>
      </w:r>
    </w:p>
    <w:p w:rsidR="00AB073E" w:rsidRPr="00A95E01" w:rsidRDefault="00AB073E" w:rsidP="00441E4C">
      <w:pPr>
        <w:spacing w:line="360" w:lineRule="auto"/>
        <w:jc w:val="both"/>
      </w:pPr>
      <w:r w:rsidRPr="00A95E01">
        <w:t>Prior to analysis, a pre-treatment was applied to the working-electrode in a supporting electrolyte of nitric acid (0.9 mol/L) combined with a small quantity (two drops, approximately 100 µL) of sulfamic acid. This pre-treatment consisted in conducting a series of pulses: oxidation at E</w:t>
      </w:r>
      <w:r w:rsidRPr="00A95E01">
        <w:rPr>
          <w:vertAlign w:val="subscript"/>
        </w:rPr>
        <w:t>1</w:t>
      </w:r>
      <w:r w:rsidRPr="00A95E01">
        <w:t>=E°’+320 mV, reduction at E</w:t>
      </w:r>
      <w:r w:rsidRPr="00A95E01">
        <w:rPr>
          <w:vertAlign w:val="subscript"/>
        </w:rPr>
        <w:t>2</w:t>
      </w:r>
      <w:r w:rsidRPr="00A95E01">
        <w:t>=E°’-360 mV, and oxidation back to E</w:t>
      </w:r>
      <w:r w:rsidRPr="00A95E01">
        <w:rPr>
          <w:vertAlign w:val="subscript"/>
        </w:rPr>
        <w:t>1</w:t>
      </w:r>
      <w:r w:rsidRPr="00A95E01">
        <w:t xml:space="preserve"> (where E°’ is the formal potential of the Pu</w:t>
      </w:r>
      <w:r w:rsidR="00643CAF" w:rsidRPr="00A95E01">
        <w:t>(IV)</w:t>
      </w:r>
      <w:r w:rsidRPr="00A95E01">
        <w:t>/Pu</w:t>
      </w:r>
      <w:r w:rsidR="00643CAF" w:rsidRPr="00A95E01">
        <w:t>(III)</w:t>
      </w:r>
      <w:r w:rsidRPr="00A95E01">
        <w:t xml:space="preserve"> redox pair in HNO</w:t>
      </w:r>
      <w:r w:rsidRPr="00A95E01">
        <w:rPr>
          <w:vertAlign w:val="subscript"/>
        </w:rPr>
        <w:t xml:space="preserve">3 </w:t>
      </w:r>
      <w:r w:rsidRPr="00A95E01">
        <w:t xml:space="preserve">0.9 mol/L) </w:t>
      </w:r>
      <w:r w:rsidR="00372086" w:rsidRPr="00372086">
        <w:t>[5]</w:t>
      </w:r>
      <w:r w:rsidRPr="00A95E01">
        <w:t>.</w:t>
      </w:r>
    </w:p>
    <w:p w:rsidR="00AB073E" w:rsidRPr="00A95E01" w:rsidRDefault="00AB073E" w:rsidP="00441E4C">
      <w:pPr>
        <w:pStyle w:val="JRNCBody"/>
        <w:rPr>
          <w:u w:val="single"/>
        </w:rPr>
      </w:pPr>
      <w:r w:rsidRPr="00A95E01">
        <w:rPr>
          <w:i/>
          <w:sz w:val="28"/>
          <w:szCs w:val="28"/>
          <w:lang w:val="en-US"/>
        </w:rPr>
        <w:t>Blank measurement</w:t>
      </w:r>
    </w:p>
    <w:p w:rsidR="00AB073E" w:rsidRPr="00A95E01" w:rsidRDefault="00AB073E" w:rsidP="00441E4C">
      <w:pPr>
        <w:spacing w:line="360" w:lineRule="auto"/>
        <w:jc w:val="both"/>
      </w:pPr>
      <w:r w:rsidRPr="00A95E01">
        <w:t>A blank was measured in the same medium which served for pre-treatment. The procedure consisted in a reduction step at E</w:t>
      </w:r>
      <w:r w:rsidRPr="00A95E01">
        <w:rPr>
          <w:vertAlign w:val="subscript"/>
        </w:rPr>
        <w:t>1</w:t>
      </w:r>
      <w:r w:rsidRPr="00A95E01">
        <w:t>=E°’-230 mV followed by an oxidation step at E</w:t>
      </w:r>
      <w:r w:rsidRPr="00A95E01">
        <w:rPr>
          <w:vertAlign w:val="subscript"/>
        </w:rPr>
        <w:t>2</w:t>
      </w:r>
      <w:r w:rsidRPr="00A95E01">
        <w:t>=E°’+230 mV. The duration of oxidation (</w:t>
      </w:r>
      <w:r w:rsidRPr="00A95E01">
        <w:rPr>
          <w:i/>
        </w:rPr>
        <w:t>t</w:t>
      </w:r>
      <w:r w:rsidRPr="00A95E01">
        <w:rPr>
          <w:i/>
          <w:vertAlign w:val="subscript"/>
        </w:rPr>
        <w:t>1</w:t>
      </w:r>
      <w:r w:rsidRPr="00A95E01">
        <w:rPr>
          <w:i/>
        </w:rPr>
        <w:t>)</w:t>
      </w:r>
      <w:r w:rsidRPr="00A95E01">
        <w:t>, the residual current (</w:t>
      </w:r>
      <w:r w:rsidRPr="00A95E01">
        <w:rPr>
          <w:i/>
        </w:rPr>
        <w:t>i</w:t>
      </w:r>
      <w:r w:rsidRPr="00A95E01">
        <w:rPr>
          <w:i/>
          <w:vertAlign w:val="subscript"/>
        </w:rPr>
        <w:t>r1</w:t>
      </w:r>
      <w:r w:rsidRPr="00A95E01">
        <w:rPr>
          <w:i/>
        </w:rPr>
        <w:t>)</w:t>
      </w:r>
      <w:r w:rsidRPr="00A95E01">
        <w:t>, and the raw quantity of electricity of the blank (</w:t>
      </w:r>
      <w:r w:rsidRPr="00A95E01">
        <w:rPr>
          <w:i/>
        </w:rPr>
        <w:t>Q</w:t>
      </w:r>
      <w:r w:rsidRPr="00A95E01">
        <w:rPr>
          <w:i/>
          <w:vertAlign w:val="subscript"/>
        </w:rPr>
        <w:t>1</w:t>
      </w:r>
      <w:r w:rsidRPr="00A95E01">
        <w:t xml:space="preserve">) were recorded during the oxidation step. For both electrochemical steps, the reaction was ended when a stable current of a few µA with a drift inferior to 1 µA over 100 s was recorded. The potentials applied during this phase were the same as those used for the coulometric analysis of Pu </w:t>
      </w:r>
      <w:r w:rsidR="00372086" w:rsidRPr="00372086">
        <w:t>[3]</w:t>
      </w:r>
      <w:r w:rsidRPr="00A95E01">
        <w:t>.</w:t>
      </w:r>
    </w:p>
    <w:p w:rsidR="00AB073E" w:rsidRPr="00A95E01" w:rsidRDefault="00AB073E" w:rsidP="00441E4C">
      <w:pPr>
        <w:pStyle w:val="JRNCBody"/>
        <w:rPr>
          <w:u w:val="single"/>
        </w:rPr>
      </w:pPr>
      <w:r w:rsidRPr="00A95E01">
        <w:rPr>
          <w:i/>
          <w:sz w:val="28"/>
          <w:szCs w:val="28"/>
          <w:lang w:val="en-US"/>
        </w:rPr>
        <w:t>Analysis of plutonium</w:t>
      </w:r>
    </w:p>
    <w:p w:rsidR="00AB073E" w:rsidRPr="00A95E01" w:rsidRDefault="00AB073E" w:rsidP="00441E4C">
      <w:pPr>
        <w:spacing w:line="360" w:lineRule="auto"/>
        <w:jc w:val="both"/>
      </w:pPr>
      <w:r w:rsidRPr="00A95E01">
        <w:t>The dried test sample was dissolved in the supporting electrolyte used for the blank measurements.</w:t>
      </w:r>
    </w:p>
    <w:p w:rsidR="00AB073E" w:rsidRPr="00A95E01" w:rsidRDefault="00AB073E" w:rsidP="00441E4C">
      <w:pPr>
        <w:spacing w:line="360" w:lineRule="auto"/>
        <w:jc w:val="both"/>
      </w:pPr>
      <w:r w:rsidRPr="00A95E01">
        <w:t>During analysis measurements, the Pu</w:t>
      </w:r>
      <w:r w:rsidR="00643CAF" w:rsidRPr="00A95E01">
        <w:t>(IV)</w:t>
      </w:r>
      <w:r w:rsidRPr="00A95E01">
        <w:t xml:space="preserve"> in the test sample was first reduced to Pu</w:t>
      </w:r>
      <w:r w:rsidR="00643CAF" w:rsidRPr="00A95E01">
        <w:t>(III)</w:t>
      </w:r>
      <w:r w:rsidRPr="00A95E01">
        <w:t xml:space="preserve"> by applying a potential E</w:t>
      </w:r>
      <w:r w:rsidRPr="00A95E01">
        <w:rPr>
          <w:vertAlign w:val="subscript"/>
        </w:rPr>
        <w:t>1</w:t>
      </w:r>
      <w:r w:rsidRPr="00A95E01">
        <w:t xml:space="preserve"> (E</w:t>
      </w:r>
      <w:r w:rsidRPr="00A95E01">
        <w:rPr>
          <w:vertAlign w:val="subscript"/>
        </w:rPr>
        <w:t>1</w:t>
      </w:r>
      <w:r w:rsidRPr="00A95E01">
        <w:t>=E°’-230 mV). The generated Pu</w:t>
      </w:r>
      <w:r w:rsidR="003A7986" w:rsidRPr="00A95E01">
        <w:t>(III)</w:t>
      </w:r>
      <w:r w:rsidRPr="00A95E01">
        <w:t xml:space="preserve"> solution was then oxidized back to Pu</w:t>
      </w:r>
      <w:r w:rsidR="003A7986" w:rsidRPr="00A95E01">
        <w:t>(IV)</w:t>
      </w:r>
      <w:r w:rsidRPr="00A95E01">
        <w:t xml:space="preserve"> by applying a potential E</w:t>
      </w:r>
      <w:r w:rsidRPr="00A95E01">
        <w:rPr>
          <w:vertAlign w:val="subscript"/>
        </w:rPr>
        <w:t xml:space="preserve">2 </w:t>
      </w:r>
      <w:r w:rsidRPr="00A95E01">
        <w:t>(E</w:t>
      </w:r>
      <w:r w:rsidRPr="00A95E01">
        <w:rPr>
          <w:vertAlign w:val="subscript"/>
        </w:rPr>
        <w:t>2</w:t>
      </w:r>
      <w:r w:rsidRPr="00A95E01">
        <w:t xml:space="preserve">=E°’+230 mV). During the two </w:t>
      </w:r>
      <w:r w:rsidRPr="00A95E01">
        <w:lastRenderedPageBreak/>
        <w:t>electrochemical processes, the shift in applied potential from E°’ of 230 mV was chosen in order to ensure the almost complete conversion of Pu at equilibrium (close to 99.99%) whilst avoiding the reactions of interfering species. The current measured during the oxidation phase was integrated as a function of time until the same stopping criteria as those used for the measurement of the blank (a stable current of a few µA with a drift inferior to 1 µA over 100 s) were reached. During this second phase, the duration of oxidation (</w:t>
      </w:r>
      <w:r w:rsidRPr="00A95E01">
        <w:rPr>
          <w:i/>
        </w:rPr>
        <w:t>t</w:t>
      </w:r>
      <w:r w:rsidRPr="00A95E01">
        <w:rPr>
          <w:i/>
          <w:vertAlign w:val="subscript"/>
        </w:rPr>
        <w:t>2</w:t>
      </w:r>
      <w:r w:rsidRPr="00A95E01">
        <w:rPr>
          <w:i/>
        </w:rPr>
        <w:t>)</w:t>
      </w:r>
      <w:r w:rsidRPr="00A95E01">
        <w:t>, the residual current (</w:t>
      </w:r>
      <w:r w:rsidRPr="00A95E01">
        <w:rPr>
          <w:i/>
        </w:rPr>
        <w:t>i</w:t>
      </w:r>
      <w:r w:rsidRPr="00A95E01">
        <w:rPr>
          <w:i/>
          <w:vertAlign w:val="subscript"/>
        </w:rPr>
        <w:t>r2</w:t>
      </w:r>
      <w:r w:rsidRPr="00A95E01">
        <w:t>), and the raw quantity of electricity (</w:t>
      </w:r>
      <w:r w:rsidRPr="00A95E01">
        <w:rPr>
          <w:i/>
        </w:rPr>
        <w:t>Q</w:t>
      </w:r>
      <w:r w:rsidRPr="00A95E01">
        <w:rPr>
          <w:i/>
          <w:vertAlign w:val="subscript"/>
        </w:rPr>
        <w:t>2</w:t>
      </w:r>
      <w:r w:rsidRPr="00A95E01">
        <w:t>) spent during the phase, were recorded.</w:t>
      </w:r>
    </w:p>
    <w:p w:rsidR="00AB073E" w:rsidRPr="00A95E01" w:rsidRDefault="00AB073E" w:rsidP="00441E4C">
      <w:pPr>
        <w:spacing w:line="360" w:lineRule="auto"/>
        <w:jc w:val="both"/>
      </w:pPr>
      <w:r w:rsidRPr="00A95E01">
        <w:t xml:space="preserve">The net quantities of electricity, for the blank and the sample (noted as </w:t>
      </w:r>
      <w:r w:rsidRPr="00A95E01">
        <w:rPr>
          <w:i/>
        </w:rPr>
        <w:t>Q</w:t>
      </w:r>
      <w:r w:rsidRPr="00A95E01">
        <w:rPr>
          <w:i/>
          <w:vertAlign w:val="subscript"/>
        </w:rPr>
        <w:t>b</w:t>
      </w:r>
      <w:r w:rsidRPr="00A95E01">
        <w:t xml:space="preserve"> and </w:t>
      </w:r>
      <w:r w:rsidRPr="00A95E01">
        <w:rPr>
          <w:i/>
        </w:rPr>
        <w:t>Q</w:t>
      </w:r>
      <w:r w:rsidRPr="00A95E01">
        <w:rPr>
          <w:i/>
          <w:vertAlign w:val="subscript"/>
        </w:rPr>
        <w:t>s</w:t>
      </w:r>
      <w:r w:rsidRPr="00A95E01">
        <w:t xml:space="preserve">, respectively) were calculated from the raw quantities of electricity </w:t>
      </w:r>
      <w:r w:rsidRPr="00A95E01">
        <w:rPr>
          <w:i/>
        </w:rPr>
        <w:t>Q</w:t>
      </w:r>
      <w:r w:rsidRPr="00A95E01">
        <w:rPr>
          <w:i/>
          <w:vertAlign w:val="subscript"/>
        </w:rPr>
        <w:t>1</w:t>
      </w:r>
      <w:r w:rsidRPr="00A95E01">
        <w:t xml:space="preserve"> and </w:t>
      </w:r>
      <w:r w:rsidRPr="00A95E01">
        <w:rPr>
          <w:i/>
        </w:rPr>
        <w:t>Q</w:t>
      </w:r>
      <w:r w:rsidRPr="00A95E01">
        <w:rPr>
          <w:i/>
          <w:vertAlign w:val="subscript"/>
        </w:rPr>
        <w:t>2</w:t>
      </w:r>
      <w:r w:rsidRPr="00A95E01">
        <w:t>, by subtracting of the quantity of electricity due to the residual currents from the raw quantity of electricity (as shown in Eq</w:t>
      </w:r>
      <w:r w:rsidR="00643CAF" w:rsidRPr="00A95E01">
        <w:t>.</w:t>
      </w:r>
      <w:r w:rsidRPr="00A95E01">
        <w:t xml:space="preserve"> </w:t>
      </w:r>
      <w:r w:rsidR="00643CAF" w:rsidRPr="00A95E01">
        <w:t>(</w:t>
      </w:r>
      <w:r w:rsidRPr="00A95E01">
        <w:t>1</w:t>
      </w:r>
      <w:r w:rsidR="00643CAF" w:rsidRPr="00A95E01">
        <w:t>)</w:t>
      </w:r>
      <w:r w:rsidRPr="00A95E01">
        <w:t xml:space="preserve"> and </w:t>
      </w:r>
      <w:r w:rsidR="00643CAF" w:rsidRPr="00A95E01">
        <w:t>(</w:t>
      </w:r>
      <w:r w:rsidRPr="00A95E01">
        <w:t>2</w:t>
      </w:r>
      <w:r w:rsidR="00643CAF" w:rsidRPr="00A95E01">
        <w:t>)</w:t>
      </w:r>
      <w:r w:rsidRPr="00A95E01">
        <w:t xml:space="preserve"> for  </w:t>
      </w:r>
      <w:r w:rsidRPr="00A95E01">
        <w:rPr>
          <w:i/>
        </w:rPr>
        <w:t>Q</w:t>
      </w:r>
      <w:r w:rsidRPr="00A95E01">
        <w:rPr>
          <w:i/>
          <w:vertAlign w:val="subscript"/>
        </w:rPr>
        <w:t>b</w:t>
      </w:r>
      <w:r w:rsidRPr="00A95E01">
        <w:t xml:space="preserve"> and </w:t>
      </w:r>
      <w:r w:rsidRPr="00A95E01">
        <w:rPr>
          <w:i/>
        </w:rPr>
        <w:t>Q</w:t>
      </w:r>
      <w:r w:rsidRPr="00A95E01">
        <w:rPr>
          <w:i/>
          <w:vertAlign w:val="subscript"/>
        </w:rPr>
        <w:t>s</w:t>
      </w:r>
      <w:r w:rsidRPr="00A95E01">
        <w:t>, respectively):</w:t>
      </w:r>
    </w:p>
    <w:p w:rsidR="00AB073E" w:rsidRPr="00A95E01" w:rsidRDefault="00AB073E" w:rsidP="00441E4C">
      <w:pPr>
        <w:spacing w:line="360" w:lineRule="auto"/>
        <w:jc w:val="both"/>
        <w:rPr>
          <w:lang w:val="en-US"/>
        </w:rPr>
      </w:pPr>
      <w:r w:rsidRPr="0020709F">
        <w:rPr>
          <w:i/>
          <w:lang w:val="en-GB"/>
        </w:rPr>
        <w:t>Q</w:t>
      </w:r>
      <w:r w:rsidRPr="0020709F">
        <w:rPr>
          <w:i/>
          <w:vertAlign w:val="subscript"/>
          <w:lang w:val="en-GB"/>
        </w:rPr>
        <w:t>s</w:t>
      </w:r>
      <w:r w:rsidRPr="0020709F">
        <w:rPr>
          <w:i/>
          <w:lang w:val="en-GB"/>
        </w:rPr>
        <w:t>=Q</w:t>
      </w:r>
      <w:r w:rsidRPr="0020709F">
        <w:rPr>
          <w:i/>
          <w:vertAlign w:val="subscript"/>
          <w:lang w:val="en-GB"/>
        </w:rPr>
        <w:t>2</w:t>
      </w:r>
      <w:r w:rsidRPr="0020709F">
        <w:rPr>
          <w:i/>
          <w:lang w:val="en-GB"/>
        </w:rPr>
        <w:t>-i</w:t>
      </w:r>
      <w:r w:rsidRPr="0020709F">
        <w:rPr>
          <w:i/>
          <w:vertAlign w:val="subscript"/>
          <w:lang w:val="en-GB"/>
        </w:rPr>
        <w:t>r2</w:t>
      </w:r>
      <w:r w:rsidRPr="0020709F">
        <w:rPr>
          <w:i/>
          <w:lang w:val="en-GB"/>
        </w:rPr>
        <w:t>t</w:t>
      </w:r>
      <w:r w:rsidRPr="0020709F">
        <w:rPr>
          <w:i/>
          <w:vertAlign w:val="subscript"/>
          <w:lang w:val="en-GB"/>
        </w:rPr>
        <w:t>2</w:t>
      </w:r>
      <w:r w:rsidR="00643CAF" w:rsidRPr="0020709F">
        <w:rPr>
          <w:lang w:val="en-GB"/>
        </w:rPr>
        <w:tab/>
      </w:r>
      <w:r w:rsidR="00643CAF" w:rsidRPr="0020709F">
        <w:rPr>
          <w:lang w:val="en-GB"/>
        </w:rPr>
        <w:tab/>
      </w:r>
      <w:r w:rsidRPr="00A95E01">
        <w:rPr>
          <w:lang w:val="en-US"/>
        </w:rPr>
        <w:t>(1)</w:t>
      </w:r>
    </w:p>
    <w:p w:rsidR="00AB073E" w:rsidRPr="00A95E01" w:rsidRDefault="00AB073E" w:rsidP="00441E4C">
      <w:pPr>
        <w:spacing w:line="360" w:lineRule="auto"/>
        <w:jc w:val="both"/>
        <w:rPr>
          <w:lang w:val="en-US"/>
        </w:rPr>
      </w:pPr>
      <w:r w:rsidRPr="00A95E01">
        <w:rPr>
          <w:i/>
          <w:lang w:val="en-US"/>
        </w:rPr>
        <w:t>Q</w:t>
      </w:r>
      <w:r w:rsidRPr="00A95E01">
        <w:rPr>
          <w:i/>
          <w:vertAlign w:val="subscript"/>
          <w:lang w:val="en-US"/>
        </w:rPr>
        <w:t>b</w:t>
      </w:r>
      <w:r w:rsidRPr="00A95E01">
        <w:rPr>
          <w:i/>
          <w:lang w:val="en-US"/>
        </w:rPr>
        <w:t>=Q</w:t>
      </w:r>
      <w:r w:rsidRPr="00A95E01">
        <w:rPr>
          <w:i/>
          <w:vertAlign w:val="subscript"/>
          <w:lang w:val="en-US"/>
        </w:rPr>
        <w:t>1</w:t>
      </w:r>
      <w:r w:rsidRPr="00A95E01">
        <w:rPr>
          <w:i/>
          <w:lang w:val="en-US"/>
        </w:rPr>
        <w:t>-i</w:t>
      </w:r>
      <w:r w:rsidRPr="00A95E01">
        <w:rPr>
          <w:i/>
          <w:vertAlign w:val="subscript"/>
          <w:lang w:val="en-US"/>
        </w:rPr>
        <w:t>r1</w:t>
      </w:r>
      <w:r w:rsidRPr="00A95E01">
        <w:rPr>
          <w:i/>
          <w:lang w:val="en-US"/>
        </w:rPr>
        <w:t>t</w:t>
      </w:r>
      <w:r w:rsidRPr="00A95E01">
        <w:rPr>
          <w:i/>
          <w:vertAlign w:val="subscript"/>
          <w:lang w:val="en-US"/>
        </w:rPr>
        <w:t>1</w:t>
      </w:r>
      <w:r w:rsidR="00643CAF" w:rsidRPr="00A95E01">
        <w:rPr>
          <w:lang w:val="en-US"/>
        </w:rPr>
        <w:tab/>
      </w:r>
      <w:r w:rsidR="00643CAF" w:rsidRPr="00A95E01">
        <w:rPr>
          <w:lang w:val="en-US"/>
        </w:rPr>
        <w:tab/>
      </w:r>
      <w:r w:rsidRPr="00A95E01">
        <w:rPr>
          <w:lang w:val="en-US"/>
        </w:rPr>
        <w:t>(2)</w:t>
      </w:r>
    </w:p>
    <w:p w:rsidR="00AB073E" w:rsidRPr="00A95E01" w:rsidRDefault="00AB073E" w:rsidP="00441E4C">
      <w:pPr>
        <w:spacing w:line="360" w:lineRule="auto"/>
        <w:jc w:val="both"/>
      </w:pPr>
      <w:r w:rsidRPr="00A95E01">
        <w:t xml:space="preserve">By incorporating </w:t>
      </w:r>
      <w:r w:rsidRPr="00A95E01">
        <w:rPr>
          <w:i/>
        </w:rPr>
        <w:t>Q</w:t>
      </w:r>
      <w:r w:rsidRPr="00A95E01">
        <w:rPr>
          <w:i/>
          <w:vertAlign w:val="subscript"/>
        </w:rPr>
        <w:t>s</w:t>
      </w:r>
      <w:r w:rsidRPr="00A95E01">
        <w:t xml:space="preserve"> and </w:t>
      </w:r>
      <w:r w:rsidRPr="00A95E01">
        <w:rPr>
          <w:i/>
        </w:rPr>
        <w:t>Q</w:t>
      </w:r>
      <w:r w:rsidRPr="00A95E01">
        <w:rPr>
          <w:i/>
          <w:vertAlign w:val="subscript"/>
        </w:rPr>
        <w:t>b</w:t>
      </w:r>
      <w:r w:rsidRPr="00A95E01">
        <w:t xml:space="preserve"> in Faraday’s law, the mass of Pu in the studied sample can be expressed as shown in </w:t>
      </w:r>
      <w:r w:rsidR="00643CAF" w:rsidRPr="00A95E01">
        <w:t>Eq.</w:t>
      </w:r>
      <w:r w:rsidRPr="00A95E01">
        <w:t xml:space="preserve"> </w:t>
      </w:r>
      <w:r w:rsidR="00643CAF" w:rsidRPr="00A95E01">
        <w:t>(</w:t>
      </w:r>
      <w:r w:rsidRPr="00A95E01">
        <w:t>3</w:t>
      </w:r>
      <w:r w:rsidR="00643CAF" w:rsidRPr="00A95E01">
        <w:t>)</w:t>
      </w:r>
      <w:r w:rsidRPr="00A95E01">
        <w:t xml:space="preserve">: </w:t>
      </w:r>
    </w:p>
    <w:p w:rsidR="00AB073E" w:rsidRPr="00A95E01" w:rsidRDefault="00AB073E" w:rsidP="00441E4C">
      <w:pPr>
        <w:spacing w:line="360" w:lineRule="auto"/>
        <w:jc w:val="both"/>
      </w:pPr>
      <w:r w:rsidRPr="00A95E01">
        <w:rPr>
          <w:i/>
        </w:rPr>
        <w:t>m</w:t>
      </w:r>
      <w:r w:rsidRPr="00257004">
        <w:rPr>
          <w:i/>
          <w:vertAlign w:val="subscript"/>
        </w:rPr>
        <w:t>Pu</w:t>
      </w:r>
      <w:r w:rsidRPr="00A95E01">
        <w:rPr>
          <w:i/>
        </w:rPr>
        <w:t>=(Q</w:t>
      </w:r>
      <w:r w:rsidRPr="00257004">
        <w:rPr>
          <w:i/>
          <w:vertAlign w:val="subscript"/>
        </w:rPr>
        <w:t>s</w:t>
      </w:r>
      <w:r w:rsidRPr="00A95E01">
        <w:rPr>
          <w:i/>
        </w:rPr>
        <w:t>-Q</w:t>
      </w:r>
      <w:r w:rsidRPr="00257004">
        <w:rPr>
          <w:i/>
          <w:vertAlign w:val="subscript"/>
        </w:rPr>
        <w:t>b</w:t>
      </w:r>
      <w:r w:rsidRPr="00A95E01">
        <w:rPr>
          <w:i/>
        </w:rPr>
        <w:t>)M</w:t>
      </w:r>
      <w:r w:rsidRPr="00A95E01">
        <w:rPr>
          <w:i/>
          <w:vertAlign w:val="subscript"/>
        </w:rPr>
        <w:t>Pu</w:t>
      </w:r>
      <w:r w:rsidRPr="00A95E01">
        <w:rPr>
          <w:i/>
        </w:rPr>
        <w:t>/(nFf)</w:t>
      </w:r>
      <w:r w:rsidRPr="00A95E01">
        <w:t xml:space="preserve">        (3)</w:t>
      </w:r>
    </w:p>
    <w:p w:rsidR="00AB073E" w:rsidRPr="00A95E01" w:rsidRDefault="00AB073E" w:rsidP="00441E4C">
      <w:pPr>
        <w:spacing w:line="360" w:lineRule="auto"/>
        <w:jc w:val="both"/>
      </w:pPr>
      <w:r w:rsidRPr="00A95E01">
        <w:t xml:space="preserve">A correction factor, </w:t>
      </w:r>
      <w:r w:rsidRPr="00A95E01">
        <w:rPr>
          <w:i/>
        </w:rPr>
        <w:t>f,</w:t>
      </w:r>
      <w:r w:rsidRPr="00A95E01">
        <w:t xml:space="preserve"> which accounts for the fractions of Pu not electrolyzed during the analysis is also introduced in </w:t>
      </w:r>
      <w:r w:rsidR="00643CAF" w:rsidRPr="00A95E01">
        <w:t>Eq.</w:t>
      </w:r>
      <w:r w:rsidRPr="00A95E01">
        <w:t xml:space="preserve"> </w:t>
      </w:r>
      <w:r w:rsidR="00643CAF" w:rsidRPr="00A95E01">
        <w:t>(</w:t>
      </w:r>
      <w:r w:rsidRPr="00A95E01">
        <w:t>3</w:t>
      </w:r>
      <w:r w:rsidR="00643CAF" w:rsidRPr="00A95E01">
        <w:t>)</w:t>
      </w:r>
      <w:r w:rsidRPr="00A95E01">
        <w:t xml:space="preserve">. </w:t>
      </w:r>
      <w:r w:rsidRPr="00A95E01">
        <w:rPr>
          <w:i/>
        </w:rPr>
        <w:t>f</w:t>
      </w:r>
      <w:r w:rsidRPr="00A95E01">
        <w:t xml:space="preserve"> takes into account the amount of Pu(IV) not reduced during first stage of the analyses and that of Pu</w:t>
      </w:r>
      <w:r w:rsidR="003A7986" w:rsidRPr="00A95E01">
        <w:t>(III)</w:t>
      </w:r>
      <w:r w:rsidRPr="00A95E01">
        <w:t xml:space="preserve"> not oxidized during the second stage of the analyses. It is dependent on potentials applied and calculated by applying Nernst Law (taking the assumption that the system has reached equilibrium). </w:t>
      </w:r>
      <w:r w:rsidRPr="00A95E01">
        <w:rPr>
          <w:i/>
        </w:rPr>
        <w:t>f</w:t>
      </w:r>
      <w:r w:rsidRPr="00A95E01">
        <w:t xml:space="preserve"> is expressed as shown in Eq</w:t>
      </w:r>
      <w:r w:rsidR="00643CAF" w:rsidRPr="00A95E01">
        <w:t>.</w:t>
      </w:r>
      <w:r w:rsidRPr="00A95E01">
        <w:t xml:space="preserve"> </w:t>
      </w:r>
      <w:r w:rsidR="00643CAF" w:rsidRPr="00A95E01">
        <w:t>(</w:t>
      </w:r>
      <w:r w:rsidRPr="00A95E01">
        <w:t>4</w:t>
      </w:r>
      <w:r w:rsidR="00643CAF" w:rsidRPr="00A95E01">
        <w:t>)</w:t>
      </w:r>
      <w:r w:rsidRPr="00A95E01">
        <w:t>:</w:t>
      </w:r>
    </w:p>
    <w:p w:rsidR="00AB073E" w:rsidRPr="00A95E01" w:rsidRDefault="00AB073E" w:rsidP="00441E4C">
      <w:pPr>
        <w:spacing w:line="360" w:lineRule="auto"/>
        <w:jc w:val="both"/>
      </w:pPr>
      <m:oMath>
        <m:r>
          <w:rPr>
            <w:rFonts w:ascii="Cambria Math" w:hAnsi="Cambria Math" w:cs="Arial"/>
            <w:sz w:val="28"/>
            <w:szCs w:val="28"/>
          </w:rPr>
          <m:t>f=</m:t>
        </m:r>
        <m:f>
          <m:fPr>
            <m:ctrlPr>
              <w:rPr>
                <w:rFonts w:ascii="Cambria Math" w:hAnsi="Cambria Math" w:cs="Arial"/>
                <w:i/>
                <w:sz w:val="28"/>
                <w:szCs w:val="28"/>
              </w:rPr>
            </m:ctrlPr>
          </m:fPr>
          <m:num>
            <m:func>
              <m:funcPr>
                <m:ctrlPr>
                  <w:rPr>
                    <w:rFonts w:ascii="Cambria Math" w:hAnsi="Cambria Math" w:cs="Arial"/>
                    <w:i/>
                    <w:sz w:val="28"/>
                    <w:szCs w:val="28"/>
                  </w:rPr>
                </m:ctrlPr>
              </m:funcPr>
              <m:fName>
                <m:r>
                  <m:rPr>
                    <m:sty m:val="p"/>
                  </m:rPr>
                  <w:rPr>
                    <w:rFonts w:ascii="Cambria Math" w:hAnsi="Cambria Math" w:cs="Arial"/>
                    <w:sz w:val="28"/>
                    <w:szCs w:val="28"/>
                  </w:rPr>
                  <m:t>exp(</m:t>
                </m:r>
              </m:fName>
              <m:e>
                <m:f>
                  <m:fPr>
                    <m:ctrlPr>
                      <w:rPr>
                        <w:rFonts w:ascii="Cambria Math" w:hAnsi="Cambria Math" w:cs="Arial"/>
                        <w:i/>
                        <w:sz w:val="28"/>
                        <w:szCs w:val="28"/>
                      </w:rPr>
                    </m:ctrlPr>
                  </m:fPr>
                  <m:num>
                    <m:r>
                      <w:rPr>
                        <w:rFonts w:ascii="Cambria Math" w:hAnsi="Cambria Math" w:cs="Arial"/>
                        <w:sz w:val="28"/>
                        <w:szCs w:val="28"/>
                      </w:rPr>
                      <m:t>n ∙F ∙</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E</m:t>
                            </m:r>
                          </m:e>
                          <m:sub>
                            <m:r>
                              <w:rPr>
                                <w:rFonts w:ascii="Cambria Math" w:hAnsi="Cambria Math" w:cs="Arial"/>
                                <w:sz w:val="28"/>
                                <w:szCs w:val="28"/>
                              </w:rPr>
                              <m:t>2</m:t>
                            </m:r>
                          </m:sub>
                        </m:sSub>
                        <m:r>
                          <w:rPr>
                            <w:rFonts w:ascii="Cambria Math" w:hAnsi="Cambria Math" w:cs="Arial"/>
                            <w:sz w:val="28"/>
                            <w:szCs w:val="28"/>
                          </w:rPr>
                          <m:t>-E</m:t>
                        </m:r>
                        <m:sSup>
                          <m:sSupPr>
                            <m:ctrlPr>
                              <w:rPr>
                                <w:rFonts w:ascii="Cambria Math" w:hAnsi="Cambria Math" w:cs="Arial"/>
                                <w:i/>
                                <w:sz w:val="28"/>
                                <w:szCs w:val="28"/>
                              </w:rPr>
                            </m:ctrlPr>
                          </m:sSupPr>
                          <m:e>
                            <m:r>
                              <w:rPr>
                                <w:rFonts w:ascii="Cambria Math" w:hAnsi="Cambria Math" w:cs="Arial"/>
                                <w:sz w:val="28"/>
                                <w:szCs w:val="28"/>
                              </w:rPr>
                              <m:t>°</m:t>
                            </m:r>
                          </m:e>
                          <m:sup>
                            <m:r>
                              <w:rPr>
                                <w:rFonts w:ascii="Cambria Math" w:hAnsi="Cambria Math" w:cs="Arial"/>
                                <w:sz w:val="28"/>
                                <w:szCs w:val="28"/>
                              </w:rPr>
                              <m:t>'</m:t>
                            </m:r>
                          </m:sup>
                        </m:sSup>
                      </m:e>
                    </m:d>
                  </m:num>
                  <m:den>
                    <m:r>
                      <w:rPr>
                        <w:rFonts w:ascii="Cambria Math" w:hAnsi="Cambria Math" w:cs="Arial"/>
                        <w:sz w:val="28"/>
                        <w:szCs w:val="28"/>
                      </w:rPr>
                      <m:t>R∙T</m:t>
                    </m:r>
                  </m:den>
                </m:f>
                <m:r>
                  <w:rPr>
                    <w:rFonts w:ascii="Cambria Math" w:hAnsi="Cambria Math" w:cs="Arial"/>
                    <w:sz w:val="28"/>
                    <w:szCs w:val="28"/>
                  </w:rPr>
                  <m:t>)</m:t>
                </m:r>
              </m:e>
            </m:func>
          </m:num>
          <m:den>
            <m:r>
              <w:rPr>
                <w:rFonts w:ascii="Cambria Math" w:hAnsi="Cambria Math" w:cs="Arial"/>
                <w:sz w:val="28"/>
                <w:szCs w:val="28"/>
              </w:rPr>
              <m:t>1+</m:t>
            </m:r>
            <m:func>
              <m:funcPr>
                <m:ctrlPr>
                  <w:rPr>
                    <w:rFonts w:ascii="Cambria Math" w:hAnsi="Cambria Math" w:cs="Arial"/>
                    <w:i/>
                    <w:sz w:val="28"/>
                    <w:szCs w:val="28"/>
                  </w:rPr>
                </m:ctrlPr>
              </m:funcPr>
              <m:fName>
                <m:r>
                  <m:rPr>
                    <m:sty m:val="p"/>
                  </m:rPr>
                  <w:rPr>
                    <w:rFonts w:ascii="Cambria Math" w:hAnsi="Cambria Math" w:cs="Arial"/>
                    <w:sz w:val="28"/>
                    <w:szCs w:val="28"/>
                  </w:rPr>
                  <m:t>exp</m:t>
                </m:r>
              </m:fName>
              <m:e>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n∙F∙</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E</m:t>
                            </m:r>
                          </m:e>
                          <m:sub>
                            <m:r>
                              <w:rPr>
                                <w:rFonts w:ascii="Cambria Math" w:hAnsi="Cambria Math" w:cs="Arial"/>
                                <w:sz w:val="28"/>
                                <w:szCs w:val="28"/>
                              </w:rPr>
                              <m:t>2</m:t>
                            </m:r>
                          </m:sub>
                        </m:sSub>
                        <m:r>
                          <w:rPr>
                            <w:rFonts w:ascii="Cambria Math" w:hAnsi="Cambria Math" w:cs="Arial"/>
                            <w:sz w:val="28"/>
                            <w:szCs w:val="28"/>
                          </w:rPr>
                          <m:t>-E</m:t>
                        </m:r>
                        <m:sSup>
                          <m:sSupPr>
                            <m:ctrlPr>
                              <w:rPr>
                                <w:rFonts w:ascii="Cambria Math" w:hAnsi="Cambria Math" w:cs="Arial"/>
                                <w:i/>
                                <w:sz w:val="28"/>
                                <w:szCs w:val="28"/>
                              </w:rPr>
                            </m:ctrlPr>
                          </m:sSupPr>
                          <m:e>
                            <m:r>
                              <w:rPr>
                                <w:rFonts w:ascii="Cambria Math" w:hAnsi="Cambria Math" w:cs="Arial"/>
                                <w:sz w:val="28"/>
                                <w:szCs w:val="28"/>
                              </w:rPr>
                              <m:t>°</m:t>
                            </m:r>
                          </m:e>
                          <m:sup>
                            <m:r>
                              <w:rPr>
                                <w:rFonts w:ascii="Cambria Math" w:hAnsi="Cambria Math" w:cs="Arial"/>
                                <w:sz w:val="28"/>
                                <w:szCs w:val="28"/>
                              </w:rPr>
                              <m:t>'</m:t>
                            </m:r>
                          </m:sup>
                        </m:sSup>
                      </m:e>
                    </m:d>
                  </m:num>
                  <m:den>
                    <m:r>
                      <w:rPr>
                        <w:rFonts w:ascii="Cambria Math" w:hAnsi="Cambria Math" w:cs="Arial"/>
                        <w:sz w:val="28"/>
                        <w:szCs w:val="28"/>
                      </w:rPr>
                      <m:t>R∙T</m:t>
                    </m:r>
                  </m:den>
                </m:f>
                <m:r>
                  <w:rPr>
                    <w:rFonts w:ascii="Cambria Math" w:hAnsi="Cambria Math" w:cs="Arial"/>
                    <w:sz w:val="28"/>
                    <w:szCs w:val="28"/>
                  </w:rPr>
                  <m:t xml:space="preserve"> )</m:t>
                </m:r>
              </m:e>
            </m:func>
          </m:den>
        </m:f>
        <m:r>
          <w:rPr>
            <w:rFonts w:ascii="Cambria Math" w:hAnsi="Cambria Math" w:cs="Arial"/>
            <w:sz w:val="28"/>
            <w:szCs w:val="28"/>
          </w:rPr>
          <m:t>-</m:t>
        </m:r>
        <m:f>
          <m:fPr>
            <m:ctrlPr>
              <w:rPr>
                <w:rFonts w:ascii="Cambria Math" w:hAnsi="Cambria Math" w:cs="Arial"/>
                <w:i/>
                <w:sz w:val="28"/>
                <w:szCs w:val="28"/>
              </w:rPr>
            </m:ctrlPr>
          </m:fPr>
          <m:num>
            <m:func>
              <m:funcPr>
                <m:ctrlPr>
                  <w:rPr>
                    <w:rFonts w:ascii="Cambria Math" w:hAnsi="Cambria Math" w:cs="Arial"/>
                    <w:i/>
                    <w:sz w:val="28"/>
                    <w:szCs w:val="28"/>
                  </w:rPr>
                </m:ctrlPr>
              </m:funcPr>
              <m:fName>
                <m:r>
                  <m:rPr>
                    <m:sty m:val="p"/>
                  </m:rPr>
                  <w:rPr>
                    <w:rFonts w:ascii="Cambria Math" w:hAnsi="Cambria Math" w:cs="Arial"/>
                    <w:sz w:val="28"/>
                    <w:szCs w:val="28"/>
                  </w:rPr>
                  <m:t>exp(</m:t>
                </m:r>
              </m:fName>
              <m:e>
                <m:f>
                  <m:fPr>
                    <m:ctrlPr>
                      <w:rPr>
                        <w:rFonts w:ascii="Cambria Math" w:hAnsi="Cambria Math" w:cs="Arial"/>
                        <w:i/>
                        <w:sz w:val="28"/>
                        <w:szCs w:val="28"/>
                      </w:rPr>
                    </m:ctrlPr>
                  </m:fPr>
                  <m:num>
                    <m:r>
                      <w:rPr>
                        <w:rFonts w:ascii="Cambria Math" w:hAnsi="Cambria Math" w:cs="Arial"/>
                        <w:sz w:val="28"/>
                        <w:szCs w:val="28"/>
                      </w:rPr>
                      <m:t>n ∙F ∙</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E</m:t>
                            </m:r>
                          </m:e>
                          <m:sub>
                            <m:r>
                              <w:rPr>
                                <w:rFonts w:ascii="Cambria Math" w:hAnsi="Cambria Math" w:cs="Arial"/>
                                <w:sz w:val="28"/>
                                <w:szCs w:val="28"/>
                              </w:rPr>
                              <m:t>1</m:t>
                            </m:r>
                          </m:sub>
                        </m:sSub>
                        <m:r>
                          <w:rPr>
                            <w:rFonts w:ascii="Cambria Math" w:hAnsi="Cambria Math" w:cs="Arial"/>
                            <w:sz w:val="28"/>
                            <w:szCs w:val="28"/>
                          </w:rPr>
                          <m:t>-E</m:t>
                        </m:r>
                        <m:sSup>
                          <m:sSupPr>
                            <m:ctrlPr>
                              <w:rPr>
                                <w:rFonts w:ascii="Cambria Math" w:hAnsi="Cambria Math" w:cs="Arial"/>
                                <w:i/>
                                <w:sz w:val="28"/>
                                <w:szCs w:val="28"/>
                              </w:rPr>
                            </m:ctrlPr>
                          </m:sSupPr>
                          <m:e>
                            <m:r>
                              <w:rPr>
                                <w:rFonts w:ascii="Cambria Math" w:hAnsi="Cambria Math" w:cs="Arial"/>
                                <w:sz w:val="28"/>
                                <w:szCs w:val="28"/>
                              </w:rPr>
                              <m:t>°</m:t>
                            </m:r>
                          </m:e>
                          <m:sup>
                            <m:r>
                              <w:rPr>
                                <w:rFonts w:ascii="Cambria Math" w:hAnsi="Cambria Math" w:cs="Arial"/>
                                <w:sz w:val="28"/>
                                <w:szCs w:val="28"/>
                              </w:rPr>
                              <m:t>'</m:t>
                            </m:r>
                          </m:sup>
                        </m:sSup>
                      </m:e>
                    </m:d>
                  </m:num>
                  <m:den>
                    <m:r>
                      <w:rPr>
                        <w:rFonts w:ascii="Cambria Math" w:hAnsi="Cambria Math" w:cs="Arial"/>
                        <w:sz w:val="28"/>
                        <w:szCs w:val="28"/>
                      </w:rPr>
                      <m:t>R∙T</m:t>
                    </m:r>
                  </m:den>
                </m:f>
                <m:r>
                  <w:rPr>
                    <w:rFonts w:ascii="Cambria Math" w:hAnsi="Cambria Math" w:cs="Arial"/>
                    <w:sz w:val="28"/>
                    <w:szCs w:val="28"/>
                  </w:rPr>
                  <m:t>)</m:t>
                </m:r>
              </m:e>
            </m:func>
          </m:num>
          <m:den>
            <m:r>
              <w:rPr>
                <w:rFonts w:ascii="Cambria Math" w:hAnsi="Cambria Math" w:cs="Arial"/>
                <w:sz w:val="28"/>
                <w:szCs w:val="28"/>
              </w:rPr>
              <m:t>1+</m:t>
            </m:r>
            <m:func>
              <m:funcPr>
                <m:ctrlPr>
                  <w:rPr>
                    <w:rFonts w:ascii="Cambria Math" w:hAnsi="Cambria Math" w:cs="Arial"/>
                    <w:i/>
                    <w:sz w:val="28"/>
                    <w:szCs w:val="28"/>
                  </w:rPr>
                </m:ctrlPr>
              </m:funcPr>
              <m:fName>
                <m:r>
                  <m:rPr>
                    <m:sty m:val="p"/>
                  </m:rPr>
                  <w:rPr>
                    <w:rFonts w:ascii="Cambria Math" w:hAnsi="Cambria Math" w:cs="Arial"/>
                    <w:sz w:val="28"/>
                    <w:szCs w:val="28"/>
                  </w:rPr>
                  <m:t>exp</m:t>
                </m:r>
              </m:fName>
              <m:e>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n∙F∙</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E</m:t>
                            </m:r>
                          </m:e>
                          <m:sub>
                            <m:r>
                              <w:rPr>
                                <w:rFonts w:ascii="Cambria Math" w:hAnsi="Cambria Math" w:cs="Arial"/>
                                <w:sz w:val="28"/>
                                <w:szCs w:val="28"/>
                              </w:rPr>
                              <m:t>1</m:t>
                            </m:r>
                          </m:sub>
                        </m:sSub>
                        <m:r>
                          <w:rPr>
                            <w:rFonts w:ascii="Cambria Math" w:hAnsi="Cambria Math" w:cs="Arial"/>
                            <w:sz w:val="28"/>
                            <w:szCs w:val="28"/>
                          </w:rPr>
                          <m:t>-E</m:t>
                        </m:r>
                        <m:sSup>
                          <m:sSupPr>
                            <m:ctrlPr>
                              <w:rPr>
                                <w:rFonts w:ascii="Cambria Math" w:hAnsi="Cambria Math" w:cs="Arial"/>
                                <w:i/>
                                <w:sz w:val="28"/>
                                <w:szCs w:val="28"/>
                              </w:rPr>
                            </m:ctrlPr>
                          </m:sSupPr>
                          <m:e>
                            <m:r>
                              <w:rPr>
                                <w:rFonts w:ascii="Cambria Math" w:hAnsi="Cambria Math" w:cs="Arial"/>
                                <w:sz w:val="28"/>
                                <w:szCs w:val="28"/>
                              </w:rPr>
                              <m:t>°</m:t>
                            </m:r>
                          </m:e>
                          <m:sup>
                            <m:r>
                              <w:rPr>
                                <w:rFonts w:ascii="Cambria Math" w:hAnsi="Cambria Math" w:cs="Arial"/>
                                <w:sz w:val="28"/>
                                <w:szCs w:val="28"/>
                              </w:rPr>
                              <m:t>'</m:t>
                            </m:r>
                          </m:sup>
                        </m:sSup>
                      </m:e>
                    </m:d>
                  </m:num>
                  <m:den>
                    <m:r>
                      <w:rPr>
                        <w:rFonts w:ascii="Cambria Math" w:hAnsi="Cambria Math" w:cs="Arial"/>
                        <w:sz w:val="28"/>
                        <w:szCs w:val="28"/>
                      </w:rPr>
                      <m:t>R∙T</m:t>
                    </m:r>
                  </m:den>
                </m:f>
                <m:r>
                  <w:rPr>
                    <w:rFonts w:ascii="Cambria Math" w:hAnsi="Cambria Math" w:cs="Arial"/>
                    <w:sz w:val="28"/>
                    <w:szCs w:val="28"/>
                  </w:rPr>
                  <m:t xml:space="preserve"> )</m:t>
                </m:r>
              </m:e>
            </m:func>
          </m:den>
        </m:f>
        <m:r>
          <w:rPr>
            <w:rFonts w:ascii="Cambria Math" w:hAnsi="Cambria Math" w:cs="Arial"/>
            <w:sz w:val="28"/>
            <w:szCs w:val="28"/>
          </w:rPr>
          <m:t xml:space="preserve">      </m:t>
        </m:r>
      </m:oMath>
      <w:r w:rsidR="00643CAF" w:rsidRPr="00A95E01">
        <w:tab/>
      </w:r>
      <w:r w:rsidR="00643CAF" w:rsidRPr="00A95E01">
        <w:tab/>
      </w:r>
      <w:r w:rsidRPr="00A95E01">
        <w:t>(4)</w:t>
      </w:r>
    </w:p>
    <w:p w:rsidR="00AB073E" w:rsidRPr="00A95E01" w:rsidRDefault="00AB073E" w:rsidP="00441E4C">
      <w:pPr>
        <w:spacing w:line="360" w:lineRule="auto"/>
        <w:jc w:val="both"/>
      </w:pPr>
      <w:r w:rsidRPr="00A95E01">
        <w:t>In Eq</w:t>
      </w:r>
      <w:r w:rsidR="00643CAF" w:rsidRPr="00A95E01">
        <w:t>.</w:t>
      </w:r>
      <w:r w:rsidRPr="00A95E01">
        <w:t xml:space="preserve"> </w:t>
      </w:r>
      <w:r w:rsidR="00643CAF" w:rsidRPr="00A95E01">
        <w:t>(</w:t>
      </w:r>
      <w:r w:rsidRPr="00A95E01">
        <w:t>4</w:t>
      </w:r>
      <w:r w:rsidR="00643CAF" w:rsidRPr="00A95E01">
        <w:t>)</w:t>
      </w:r>
      <w:r w:rsidRPr="00A95E01">
        <w:t xml:space="preserve">, </w:t>
      </w:r>
      <w:r w:rsidRPr="00A95E01">
        <w:rPr>
          <w:i/>
        </w:rPr>
        <w:t>E</w:t>
      </w:r>
      <w:r w:rsidRPr="00A95E01">
        <w:rPr>
          <w:i/>
          <w:vertAlign w:val="subscript"/>
        </w:rPr>
        <w:t>2</w:t>
      </w:r>
      <w:r w:rsidRPr="00A95E01">
        <w:t xml:space="preserve"> and </w:t>
      </w:r>
      <w:r w:rsidRPr="00A95E01">
        <w:rPr>
          <w:i/>
        </w:rPr>
        <w:t>E</w:t>
      </w:r>
      <w:r w:rsidRPr="00A95E01">
        <w:rPr>
          <w:i/>
          <w:vertAlign w:val="subscript"/>
        </w:rPr>
        <w:t>1</w:t>
      </w:r>
      <w:r w:rsidRPr="00A95E01">
        <w:t xml:space="preserve"> are the potentials applied for the oxidation and reduction phases, respectively; </w:t>
      </w:r>
      <w:r w:rsidRPr="00A95E01">
        <w:rPr>
          <w:i/>
        </w:rPr>
        <w:t>E°’</w:t>
      </w:r>
      <w:r w:rsidRPr="00A95E01">
        <w:t xml:space="preserve"> is the formal potential of the Pu</w:t>
      </w:r>
      <w:r w:rsidR="00643CAF" w:rsidRPr="00A95E01">
        <w:t>(IV)</w:t>
      </w:r>
      <w:r w:rsidRPr="00A95E01">
        <w:t>/Pu</w:t>
      </w:r>
      <w:r w:rsidR="00643CAF" w:rsidRPr="00A95E01">
        <w:t>(III)</w:t>
      </w:r>
      <w:r w:rsidRPr="00A95E01">
        <w:t xml:space="preserve"> redox pair; </w:t>
      </w:r>
      <w:r w:rsidRPr="00A95E01">
        <w:rPr>
          <w:i/>
        </w:rPr>
        <w:t xml:space="preserve">n </w:t>
      </w:r>
      <w:r w:rsidRPr="00A95E01">
        <w:t xml:space="preserve">is the number of electrons exchanged (equal to 1 for the studied system); </w:t>
      </w:r>
      <w:r w:rsidRPr="00A95E01">
        <w:rPr>
          <w:i/>
        </w:rPr>
        <w:t xml:space="preserve">F </w:t>
      </w:r>
      <w:r w:rsidRPr="00A95E01">
        <w:t xml:space="preserve">is Faraday’s constant; </w:t>
      </w:r>
      <w:r w:rsidRPr="00A95E01">
        <w:rPr>
          <w:i/>
        </w:rPr>
        <w:t>R</w:t>
      </w:r>
      <w:r w:rsidRPr="00A95E01">
        <w:t xml:space="preserve"> is the molar gas constant (equal to 8.3144598 J mol</w:t>
      </w:r>
      <w:r w:rsidRPr="00A95E01">
        <w:rPr>
          <w:vertAlign w:val="superscript"/>
        </w:rPr>
        <w:t>-1</w:t>
      </w:r>
      <w:r w:rsidRPr="00A95E01">
        <w:t xml:space="preserve"> K</w:t>
      </w:r>
      <w:r w:rsidRPr="00A95E01">
        <w:rPr>
          <w:vertAlign w:val="superscript"/>
        </w:rPr>
        <w:t>-1</w:t>
      </w:r>
      <w:r w:rsidRPr="00A95E01">
        <w:t xml:space="preserve"> </w:t>
      </w:r>
      <w:r w:rsidR="00372086" w:rsidRPr="00372086">
        <w:t>[9]</w:t>
      </w:r>
      <w:r w:rsidRPr="00A95E01">
        <w:t>); and T is the temperature of the studied system (in K).</w:t>
      </w:r>
    </w:p>
    <w:p w:rsidR="00AB073E" w:rsidRPr="00A95E01" w:rsidRDefault="00AB073E" w:rsidP="00441E4C">
      <w:pPr>
        <w:spacing w:line="360" w:lineRule="auto"/>
        <w:jc w:val="both"/>
      </w:pPr>
      <w:r w:rsidRPr="00A95E01">
        <w:lastRenderedPageBreak/>
        <w:t xml:space="preserve">Although the value of </w:t>
      </w:r>
      <w:r w:rsidRPr="00A95E01">
        <w:rPr>
          <w:i/>
        </w:rPr>
        <w:t>f</w:t>
      </w:r>
      <w:r w:rsidRPr="00A95E01">
        <w:t xml:space="preserve"> is very close to 1, typically 0.9997, it is indispensable to take into account in order to achieve high accuracy.</w:t>
      </w:r>
    </w:p>
    <w:p w:rsidR="00AB073E" w:rsidRPr="00A95E01" w:rsidRDefault="00AB073E" w:rsidP="000D7B2E">
      <w:pPr>
        <w:pStyle w:val="JRNCBody"/>
        <w:rPr>
          <w:sz w:val="28"/>
          <w:szCs w:val="24"/>
          <w:lang w:val="en-US"/>
        </w:rPr>
      </w:pPr>
      <w:r w:rsidRPr="00A95E01">
        <w:rPr>
          <w:sz w:val="28"/>
          <w:szCs w:val="24"/>
          <w:lang w:val="en-US"/>
        </w:rPr>
        <w:t>Monte Carlo Method simulation</w:t>
      </w:r>
    </w:p>
    <w:p w:rsidR="00AB073E" w:rsidRPr="00A95E01" w:rsidRDefault="00AB073E" w:rsidP="00441E4C">
      <w:pPr>
        <w:spacing w:line="360" w:lineRule="auto"/>
        <w:jc w:val="both"/>
      </w:pPr>
      <w:r w:rsidRPr="00A95E01">
        <w:t xml:space="preserve">The MCM calculations were run using the JMP ®13.0.0 software developed by SAS Institute Inc. using a random draw of 1,000,000. From the mathematical expressions of </w:t>
      </w:r>
      <w:r w:rsidRPr="00A95E01">
        <w:rPr>
          <w:i/>
        </w:rPr>
        <w:t>Pu</w:t>
      </w:r>
      <w:r w:rsidRPr="00A95E01">
        <w:t xml:space="preserve"> mass fraction and </w:t>
      </w:r>
      <w:r w:rsidRPr="00A95E01">
        <w:rPr>
          <w:i/>
        </w:rPr>
        <w:t>f</w:t>
      </w:r>
      <w:r w:rsidRPr="00A95E01">
        <w:t>, the probability density function was calculated for those terms using the parameters input of each variable (value, standard uncertainty, and assumed distribution).</w:t>
      </w:r>
    </w:p>
    <w:p w:rsidR="00AB073E" w:rsidRPr="00A95E01" w:rsidRDefault="00AB073E" w:rsidP="000D7B2E">
      <w:pPr>
        <w:pStyle w:val="JRNCPrimarySectionTitle"/>
      </w:pPr>
      <w:r w:rsidRPr="00A95E01">
        <w:rPr>
          <w:lang w:val="en-GB"/>
        </w:rPr>
        <w:t>Results and Discussion</w:t>
      </w:r>
    </w:p>
    <w:p w:rsidR="00AB073E" w:rsidRPr="00A95E01" w:rsidRDefault="00AB073E" w:rsidP="000D7B2E">
      <w:pPr>
        <w:pStyle w:val="JRNCBody"/>
      </w:pPr>
      <w:bookmarkStart w:id="2" w:name="_Ref1487295"/>
      <w:r w:rsidRPr="00A95E01">
        <w:rPr>
          <w:sz w:val="28"/>
          <w:szCs w:val="24"/>
          <w:lang w:val="en-US"/>
        </w:rPr>
        <w:t>Sample weighing</w:t>
      </w:r>
      <w:bookmarkEnd w:id="2"/>
    </w:p>
    <w:p w:rsidR="00AB073E" w:rsidRPr="00A95E01" w:rsidRDefault="00AB073E" w:rsidP="006E074E">
      <w:pPr>
        <w:spacing w:line="360" w:lineRule="auto"/>
        <w:jc w:val="both"/>
      </w:pPr>
      <w:r w:rsidRPr="00A95E01">
        <w:t xml:space="preserve">The weight measurements performed for sampling and dilution of the concentrated Pu solution (considered hereafter as the stock solution) during this experiment are presented in Table 1. In the table, the mass of the stock and diluted  solutions are given both as read and as corrected for air buoyancy. The </w:t>
      </w:r>
      <w:r w:rsidRPr="00A95E01">
        <w:rPr>
          <w:i/>
        </w:rPr>
        <w:t>K</w:t>
      </w:r>
      <w:r w:rsidRPr="00A95E01">
        <w:t xml:space="preserve"> factor used for air buoyancy correction is described in Eq</w:t>
      </w:r>
      <w:r w:rsidR="00643CAF" w:rsidRPr="00A95E01">
        <w:t>.</w:t>
      </w:r>
      <w:r w:rsidRPr="00A95E01">
        <w:t xml:space="preserve"> </w:t>
      </w:r>
      <w:r w:rsidR="00643CAF" w:rsidRPr="00A95E01">
        <w:t>(</w:t>
      </w:r>
      <w:r w:rsidRPr="00A95E01">
        <w:t>5</w:t>
      </w:r>
      <w:r w:rsidR="00643CAF" w:rsidRPr="00A95E01">
        <w:t>)</w:t>
      </w:r>
      <w:r w:rsidRPr="00A95E01">
        <w:t xml:space="preserve">: </w:t>
      </w:r>
    </w:p>
    <w:p w:rsidR="00AB073E" w:rsidRPr="00A95E01" w:rsidRDefault="00AB073E" w:rsidP="006E074E">
      <w:pPr>
        <w:spacing w:line="360" w:lineRule="auto"/>
        <w:jc w:val="center"/>
      </w:pPr>
      <m:oMath>
        <m:r>
          <w:rPr>
            <w:rFonts w:ascii="Cambria Math" w:hAnsi="Cambria Math"/>
          </w:rPr>
          <m:t>K=</m:t>
        </m:r>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air</m:t>
                        </m:r>
                      </m:sub>
                    </m:sSub>
                  </m:num>
                  <m:den>
                    <m:sSub>
                      <m:sSubPr>
                        <m:ctrlPr>
                          <w:rPr>
                            <w:rFonts w:ascii="Cambria Math" w:hAnsi="Cambria Math"/>
                            <w:i/>
                          </w:rPr>
                        </m:ctrlPr>
                      </m:sSubPr>
                      <m:e>
                        <m:r>
                          <w:rPr>
                            <w:rFonts w:ascii="Cambria Math" w:hAnsi="Cambria Math"/>
                          </w:rPr>
                          <m:t>ρ</m:t>
                        </m:r>
                      </m:e>
                      <m:sub>
                        <m:r>
                          <w:rPr>
                            <w:rFonts w:ascii="Cambria Math" w:hAnsi="Cambria Math"/>
                          </w:rPr>
                          <m:t>std</m:t>
                        </m:r>
                      </m:sub>
                    </m:sSub>
                  </m:den>
                </m:f>
              </m:e>
            </m:d>
          </m:num>
          <m:den>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air</m:t>
                        </m:r>
                      </m:sub>
                    </m:sSub>
                  </m:num>
                  <m:den>
                    <m:sSub>
                      <m:sSubPr>
                        <m:ctrlPr>
                          <w:rPr>
                            <w:rFonts w:ascii="Cambria Math" w:hAnsi="Cambria Math"/>
                            <w:i/>
                          </w:rPr>
                        </m:ctrlPr>
                      </m:sSubPr>
                      <m:e>
                        <m:r>
                          <w:rPr>
                            <w:rFonts w:ascii="Cambria Math" w:hAnsi="Cambria Math"/>
                          </w:rPr>
                          <m:t>ρ</m:t>
                        </m:r>
                      </m:e>
                      <m:sub>
                        <m:r>
                          <w:rPr>
                            <w:rFonts w:ascii="Cambria Math" w:hAnsi="Cambria Math"/>
                          </w:rPr>
                          <m:t>sol</m:t>
                        </m:r>
                      </m:sub>
                    </m:sSub>
                  </m:den>
                </m:f>
              </m:e>
            </m:d>
          </m:den>
        </m:f>
      </m:oMath>
      <w:r w:rsidRPr="00A95E01">
        <w:t xml:space="preserve">  with  </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corrected</m:t>
            </m:r>
          </m:sub>
        </m:sSub>
        <m:r>
          <w:rPr>
            <w:rFonts w:ascii="Cambria Math" w:hAnsi="Cambria Math"/>
          </w:rPr>
          <m:t>=K×</m:t>
        </m:r>
        <m:sSub>
          <m:sSubPr>
            <m:ctrlPr>
              <w:rPr>
                <w:rFonts w:ascii="Cambria Math" w:hAnsi="Cambria Math"/>
                <w:i/>
              </w:rPr>
            </m:ctrlPr>
          </m:sSubPr>
          <m:e>
            <m:r>
              <w:rPr>
                <w:rFonts w:ascii="Cambria Math" w:hAnsi="Cambria Math"/>
              </w:rPr>
              <m:t>m</m:t>
            </m:r>
          </m:e>
          <m:sub>
            <m:r>
              <w:rPr>
                <w:rFonts w:ascii="Cambria Math" w:hAnsi="Cambria Math"/>
              </w:rPr>
              <m:t>as read</m:t>
            </m:r>
          </m:sub>
        </m:sSub>
      </m:oMath>
      <w:r w:rsidRPr="00A95E01">
        <w:tab/>
        <w:t>(5)</w:t>
      </w:r>
    </w:p>
    <w:p w:rsidR="00AB073E" w:rsidRPr="00A95E01" w:rsidRDefault="00AB073E" w:rsidP="006E074E">
      <w:pPr>
        <w:spacing w:line="360" w:lineRule="auto"/>
        <w:jc w:val="both"/>
      </w:pPr>
      <w:r w:rsidRPr="00A95E01">
        <w:t>In Eq</w:t>
      </w:r>
      <w:r w:rsidR="00643CAF" w:rsidRPr="00A95E01">
        <w:t>.</w:t>
      </w:r>
      <w:r w:rsidRPr="00A95E01">
        <w:t xml:space="preserve"> </w:t>
      </w:r>
      <w:r w:rsidR="00643CAF" w:rsidRPr="00A95E01">
        <w:t>(</w:t>
      </w:r>
      <w:r w:rsidRPr="00A95E01">
        <w:t>5</w:t>
      </w:r>
      <w:r w:rsidR="00643CAF" w:rsidRPr="00A95E01">
        <w:t>)</w:t>
      </w:r>
      <w:r w:rsidRPr="00A95E01">
        <w:t xml:space="preserve">, </w:t>
      </w:r>
      <m:oMath>
        <m:sSub>
          <m:sSubPr>
            <m:ctrlPr>
              <w:rPr>
                <w:rFonts w:ascii="Cambria Math" w:hAnsi="Cambria Math"/>
                <w:i/>
              </w:rPr>
            </m:ctrlPr>
          </m:sSubPr>
          <m:e>
            <m:r>
              <w:rPr>
                <w:rFonts w:ascii="Cambria Math" w:hAnsi="Cambria Math"/>
              </w:rPr>
              <m:t>ρ</m:t>
            </m:r>
          </m:e>
          <m:sub>
            <m:r>
              <w:rPr>
                <w:rFonts w:ascii="Cambria Math" w:hAnsi="Cambria Math"/>
              </w:rPr>
              <m:t>air</m:t>
            </m:r>
          </m:sub>
        </m:sSub>
      </m:oMath>
      <w:r w:rsidRPr="00A95E01">
        <w:t xml:space="preserve"> is the air density which is dependent of temperature, relative humidity and pressure recorded during experiment (in this study, conditions in glove box were: pressure = 100450 Pa, relative humidity = 59,6% and temperature = 19,0°C giving </w:t>
      </w:r>
      <m:oMath>
        <m:sSub>
          <m:sSubPr>
            <m:ctrlPr>
              <w:rPr>
                <w:rFonts w:ascii="Cambria Math" w:hAnsi="Cambria Math"/>
                <w:i/>
              </w:rPr>
            </m:ctrlPr>
          </m:sSubPr>
          <m:e>
            <m:r>
              <w:rPr>
                <w:rFonts w:ascii="Cambria Math" w:hAnsi="Cambria Math"/>
              </w:rPr>
              <m:t>ρ</m:t>
            </m:r>
          </m:e>
          <m:sub>
            <m:r>
              <w:rPr>
                <w:rFonts w:ascii="Cambria Math" w:hAnsi="Cambria Math"/>
              </w:rPr>
              <m:t>air</m:t>
            </m:r>
          </m:sub>
        </m:sSub>
      </m:oMath>
      <w:r w:rsidRPr="00A95E01">
        <w:t>= 1.1925 kg/m</w:t>
      </w:r>
      <w:r w:rsidRPr="00A95E01">
        <w:rPr>
          <w:vertAlign w:val="superscript"/>
        </w:rPr>
        <w:t>3</w:t>
      </w:r>
      <w:r w:rsidRPr="00A95E01">
        <w:t xml:space="preserve">), </w:t>
      </w:r>
      <m:oMath>
        <m:sSub>
          <m:sSubPr>
            <m:ctrlPr>
              <w:rPr>
                <w:rFonts w:ascii="Cambria Math" w:hAnsi="Cambria Math"/>
                <w:i/>
              </w:rPr>
            </m:ctrlPr>
          </m:sSubPr>
          <m:e>
            <m:r>
              <w:rPr>
                <w:rFonts w:ascii="Cambria Math" w:hAnsi="Cambria Math"/>
              </w:rPr>
              <m:t>ρ</m:t>
            </m:r>
          </m:e>
          <m:sub>
            <m:r>
              <w:rPr>
                <w:rFonts w:ascii="Cambria Math" w:hAnsi="Cambria Math"/>
              </w:rPr>
              <m:t>std</m:t>
            </m:r>
          </m:sub>
        </m:sSub>
      </m:oMath>
      <w:r w:rsidRPr="00A95E01">
        <w:t xml:space="preserve"> is the density of the inox standard used for the scale calibration (8010 kg/m</w:t>
      </w:r>
      <w:r w:rsidRPr="00A95E01">
        <w:rPr>
          <w:vertAlign w:val="superscript"/>
        </w:rPr>
        <w:t>3</w:t>
      </w:r>
      <w:r w:rsidRPr="00A95E01">
        <w:t xml:space="preserve">), </w:t>
      </w:r>
      <m:oMath>
        <m:sSub>
          <m:sSubPr>
            <m:ctrlPr>
              <w:rPr>
                <w:rFonts w:ascii="Cambria Math" w:hAnsi="Cambria Math"/>
                <w:i/>
              </w:rPr>
            </m:ctrlPr>
          </m:sSubPr>
          <m:e>
            <m:r>
              <w:rPr>
                <w:rFonts w:ascii="Cambria Math" w:hAnsi="Cambria Math"/>
              </w:rPr>
              <m:t>ρ</m:t>
            </m:r>
          </m:e>
          <m:sub>
            <m:r>
              <w:rPr>
                <w:rFonts w:ascii="Cambria Math" w:hAnsi="Cambria Math"/>
              </w:rPr>
              <m:t>sol</m:t>
            </m:r>
          </m:sub>
        </m:sSub>
      </m:oMath>
      <w:r w:rsidRPr="00A95E01">
        <w:t xml:space="preserve"> is the density of the weighed solution.</w:t>
      </w:r>
    </w:p>
    <w:p w:rsidR="006E074E" w:rsidRPr="00A95E01" w:rsidRDefault="00AB073E" w:rsidP="006E074E">
      <w:pPr>
        <w:spacing w:line="360" w:lineRule="auto"/>
        <w:jc w:val="both"/>
      </w:pPr>
      <w:r w:rsidRPr="00A95E01">
        <w:t xml:space="preserve">A systematic mass measurement error (bias between </w:t>
      </w:r>
      <w:r w:rsidR="003A7986" w:rsidRPr="00A95E01">
        <w:softHyphen/>
      </w:r>
      <w:r w:rsidRPr="00A95E01">
        <w:t xml:space="preserve">0.09% and </w:t>
      </w:r>
      <w:r w:rsidR="003A7986" w:rsidRPr="00A95E01">
        <w:softHyphen/>
      </w:r>
      <w:r w:rsidRPr="00A95E01">
        <w:t>0.10%) was observed, which demonstrates that at the level of uncertainty desired, the correction for air buoyancy is not negligible for a solution which density is close to 1000 kg/m</w:t>
      </w:r>
      <w:r w:rsidRPr="00A95E01">
        <w:rPr>
          <w:vertAlign w:val="superscript"/>
        </w:rPr>
        <w:t>3</w:t>
      </w:r>
      <w:r w:rsidRPr="00A95E01">
        <w:t xml:space="preserve"> (and is, in fact, essential). By contrast, the air buoyancy correction uncertainty will be neglected in the </w:t>
      </w:r>
      <w:r w:rsidRPr="00A95E01">
        <w:lastRenderedPageBreak/>
        <w:t xml:space="preserve">global calculation of mass measurement uncertainty as it was estimated to be 0.0002% and found insignificant by Cordaro and coworkers </w:t>
      </w:r>
      <w:r w:rsidR="00372086" w:rsidRPr="00372086">
        <w:t>[13]</w:t>
      </w:r>
      <w:r w:rsidRPr="00A95E01">
        <w:t xml:space="preserve">. </w:t>
      </w:r>
    </w:p>
    <w:tbl>
      <w:tblPr>
        <w:tblW w:w="0" w:type="auto"/>
        <w:jc w:val="center"/>
        <w:tblLook w:val="04A0" w:firstRow="1" w:lastRow="0" w:firstColumn="1" w:lastColumn="0" w:noHBand="0" w:noVBand="1"/>
      </w:tblPr>
      <w:tblGrid>
        <w:gridCol w:w="2629"/>
        <w:gridCol w:w="1956"/>
        <w:gridCol w:w="2954"/>
      </w:tblGrid>
      <w:tr w:rsidR="00AB073E" w:rsidRPr="00A95E01" w:rsidTr="00643CAF">
        <w:trPr>
          <w:jc w:val="center"/>
        </w:trPr>
        <w:tc>
          <w:tcPr>
            <w:tcW w:w="0" w:type="auto"/>
            <w:tcBorders>
              <w:top w:val="single" w:sz="4" w:space="0" w:color="auto"/>
              <w:bottom w:val="single" w:sz="4" w:space="0" w:color="auto"/>
            </w:tcBorders>
            <w:vAlign w:val="bottom"/>
          </w:tcPr>
          <w:p w:rsidR="00AB073E" w:rsidRPr="00A95E01" w:rsidRDefault="00AB073E" w:rsidP="00643CAF">
            <w:pPr>
              <w:spacing w:line="360" w:lineRule="auto"/>
              <w:jc w:val="center"/>
            </w:pPr>
          </w:p>
        </w:tc>
        <w:tc>
          <w:tcPr>
            <w:tcW w:w="0" w:type="auto"/>
            <w:tcBorders>
              <w:top w:val="single" w:sz="4" w:space="0" w:color="auto"/>
              <w:bottom w:val="single" w:sz="4" w:space="0" w:color="auto"/>
            </w:tcBorders>
            <w:vAlign w:val="bottom"/>
          </w:tcPr>
          <w:p w:rsidR="00AB073E" w:rsidRPr="00A95E01" w:rsidRDefault="00AB073E" w:rsidP="00643CAF">
            <w:pPr>
              <w:spacing w:line="360" w:lineRule="auto"/>
              <w:jc w:val="center"/>
            </w:pPr>
            <w:r w:rsidRPr="00A95E01">
              <w:t>EQRAIN solution</w:t>
            </w:r>
          </w:p>
        </w:tc>
        <w:tc>
          <w:tcPr>
            <w:tcW w:w="2954" w:type="dxa"/>
            <w:tcBorders>
              <w:top w:val="single" w:sz="4" w:space="0" w:color="auto"/>
              <w:bottom w:val="single" w:sz="4" w:space="0" w:color="auto"/>
            </w:tcBorders>
            <w:vAlign w:val="bottom"/>
          </w:tcPr>
          <w:p w:rsidR="00AB073E" w:rsidRPr="00A95E01" w:rsidRDefault="00AB073E" w:rsidP="00643CAF">
            <w:pPr>
              <w:spacing w:line="360" w:lineRule="auto"/>
              <w:jc w:val="center"/>
            </w:pPr>
            <w:r w:rsidRPr="00A95E01">
              <w:t>Diluted EQRAIN solution</w:t>
            </w:r>
          </w:p>
        </w:tc>
      </w:tr>
      <w:tr w:rsidR="00AB073E" w:rsidRPr="00A95E01" w:rsidTr="00643CAF">
        <w:trPr>
          <w:jc w:val="center"/>
        </w:trPr>
        <w:tc>
          <w:tcPr>
            <w:tcW w:w="0" w:type="auto"/>
            <w:tcBorders>
              <w:top w:val="single" w:sz="4" w:space="0" w:color="auto"/>
            </w:tcBorders>
            <w:vAlign w:val="center"/>
          </w:tcPr>
          <w:p w:rsidR="00AB073E" w:rsidRPr="00A95E01" w:rsidRDefault="00AB073E" w:rsidP="00643CAF">
            <w:pPr>
              <w:spacing w:line="360" w:lineRule="auto"/>
              <w:jc w:val="center"/>
            </w:pPr>
            <w:r w:rsidRPr="00A95E01">
              <w:t>m(tare) (g)</w:t>
            </w:r>
          </w:p>
        </w:tc>
        <w:tc>
          <w:tcPr>
            <w:tcW w:w="0" w:type="auto"/>
            <w:tcBorders>
              <w:top w:val="single" w:sz="4" w:space="0" w:color="auto"/>
            </w:tcBorders>
            <w:vAlign w:val="center"/>
          </w:tcPr>
          <w:p w:rsidR="00AB073E" w:rsidRPr="00A95E01" w:rsidRDefault="00AB073E" w:rsidP="00643CAF">
            <w:pPr>
              <w:spacing w:line="360" w:lineRule="auto"/>
              <w:jc w:val="center"/>
            </w:pPr>
            <w:r w:rsidRPr="00A95E01">
              <w:t>133.35252</w:t>
            </w:r>
          </w:p>
        </w:tc>
        <w:tc>
          <w:tcPr>
            <w:tcW w:w="2954" w:type="dxa"/>
            <w:tcBorders>
              <w:top w:val="single" w:sz="4" w:space="0" w:color="auto"/>
            </w:tcBorders>
            <w:vAlign w:val="center"/>
          </w:tcPr>
          <w:p w:rsidR="00AB073E" w:rsidRPr="00A95E01" w:rsidRDefault="00AB073E" w:rsidP="00643CAF">
            <w:pPr>
              <w:spacing w:line="360" w:lineRule="auto"/>
              <w:jc w:val="center"/>
            </w:pPr>
            <w:r w:rsidRPr="00A95E01">
              <w:t>148.46070</w:t>
            </w:r>
          </w:p>
        </w:tc>
      </w:tr>
      <w:tr w:rsidR="00AB073E" w:rsidRPr="00A95E01" w:rsidTr="00643CAF">
        <w:trPr>
          <w:jc w:val="center"/>
        </w:trPr>
        <w:tc>
          <w:tcPr>
            <w:tcW w:w="0" w:type="auto"/>
            <w:vAlign w:val="center"/>
          </w:tcPr>
          <w:p w:rsidR="00AB073E" w:rsidRPr="00A95E01" w:rsidRDefault="00AB073E" w:rsidP="00643CAF">
            <w:pPr>
              <w:spacing w:line="360" w:lineRule="auto"/>
              <w:jc w:val="center"/>
            </w:pPr>
            <w:r w:rsidRPr="00A95E01">
              <w:t>m(tare+solution) (g)</w:t>
            </w:r>
          </w:p>
        </w:tc>
        <w:tc>
          <w:tcPr>
            <w:tcW w:w="0" w:type="auto"/>
            <w:vAlign w:val="center"/>
          </w:tcPr>
          <w:p w:rsidR="00AB073E" w:rsidRPr="00A95E01" w:rsidRDefault="00AB073E" w:rsidP="00643CAF">
            <w:pPr>
              <w:spacing w:line="360" w:lineRule="auto"/>
              <w:jc w:val="center"/>
            </w:pPr>
            <w:r w:rsidRPr="00A95E01">
              <w:t>148.46070</w:t>
            </w:r>
          </w:p>
        </w:tc>
        <w:tc>
          <w:tcPr>
            <w:tcW w:w="2954" w:type="dxa"/>
            <w:vAlign w:val="center"/>
          </w:tcPr>
          <w:p w:rsidR="00AB073E" w:rsidRPr="00A95E01" w:rsidRDefault="00AB073E" w:rsidP="00643CAF">
            <w:pPr>
              <w:spacing w:line="360" w:lineRule="auto"/>
              <w:jc w:val="center"/>
            </w:pPr>
            <w:r w:rsidRPr="00A95E01">
              <w:t>189.52380</w:t>
            </w:r>
          </w:p>
        </w:tc>
      </w:tr>
      <w:tr w:rsidR="00AB073E" w:rsidRPr="00A95E01" w:rsidTr="00643CAF">
        <w:trPr>
          <w:jc w:val="center"/>
        </w:trPr>
        <w:tc>
          <w:tcPr>
            <w:tcW w:w="0" w:type="auto"/>
            <w:vAlign w:val="center"/>
          </w:tcPr>
          <w:p w:rsidR="00AB073E" w:rsidRPr="00A95E01" w:rsidRDefault="00AB073E" w:rsidP="00643CAF">
            <w:pPr>
              <w:spacing w:line="360" w:lineRule="auto"/>
              <w:jc w:val="center"/>
            </w:pPr>
            <w:r w:rsidRPr="00A95E01">
              <w:t>m(solution) as read (g)</w:t>
            </w:r>
          </w:p>
        </w:tc>
        <w:tc>
          <w:tcPr>
            <w:tcW w:w="0" w:type="auto"/>
            <w:vAlign w:val="center"/>
          </w:tcPr>
          <w:p w:rsidR="00AB073E" w:rsidRPr="00A95E01" w:rsidRDefault="00AB073E" w:rsidP="00643CAF">
            <w:pPr>
              <w:spacing w:line="360" w:lineRule="auto"/>
              <w:jc w:val="center"/>
            </w:pPr>
            <w:r w:rsidRPr="00A95E01">
              <w:t>15.10823</w:t>
            </w:r>
          </w:p>
        </w:tc>
        <w:tc>
          <w:tcPr>
            <w:tcW w:w="2954" w:type="dxa"/>
            <w:vAlign w:val="center"/>
          </w:tcPr>
          <w:p w:rsidR="00AB073E" w:rsidRPr="00A95E01" w:rsidRDefault="00AB073E" w:rsidP="00643CAF">
            <w:pPr>
              <w:spacing w:line="360" w:lineRule="auto"/>
              <w:jc w:val="center"/>
            </w:pPr>
            <w:r w:rsidRPr="00A95E01">
              <w:t>56.17128</w:t>
            </w:r>
          </w:p>
        </w:tc>
      </w:tr>
      <w:tr w:rsidR="00AB073E" w:rsidRPr="00A95E01" w:rsidTr="00643CAF">
        <w:trPr>
          <w:jc w:val="center"/>
        </w:trPr>
        <w:tc>
          <w:tcPr>
            <w:tcW w:w="0" w:type="auto"/>
            <w:vAlign w:val="center"/>
          </w:tcPr>
          <w:p w:rsidR="00AB073E" w:rsidRPr="00A95E01" w:rsidRDefault="00AB073E" w:rsidP="00643CAF">
            <w:pPr>
              <w:spacing w:line="360" w:lineRule="auto"/>
              <w:jc w:val="center"/>
            </w:pPr>
            <w:r w:rsidRPr="00A95E01">
              <w:t>density (kg/m</w:t>
            </w:r>
            <w:r w:rsidRPr="00A95E01">
              <w:rPr>
                <w:vertAlign w:val="superscript"/>
              </w:rPr>
              <w:t>3</w:t>
            </w:r>
            <w:r w:rsidRPr="00A95E01">
              <w:t>)</w:t>
            </w:r>
          </w:p>
        </w:tc>
        <w:tc>
          <w:tcPr>
            <w:tcW w:w="0" w:type="auto"/>
            <w:vAlign w:val="center"/>
          </w:tcPr>
          <w:p w:rsidR="00AB073E" w:rsidRPr="00A95E01" w:rsidRDefault="00AB073E" w:rsidP="00643CAF">
            <w:pPr>
              <w:spacing w:line="360" w:lineRule="auto"/>
              <w:jc w:val="center"/>
            </w:pPr>
            <w:r w:rsidRPr="00A95E01">
              <w:t>1144.64</w:t>
            </w:r>
          </w:p>
        </w:tc>
        <w:tc>
          <w:tcPr>
            <w:tcW w:w="2954" w:type="dxa"/>
            <w:vAlign w:val="center"/>
          </w:tcPr>
          <w:p w:rsidR="00AB073E" w:rsidRPr="00A95E01" w:rsidRDefault="00AB073E" w:rsidP="00643CAF">
            <w:pPr>
              <w:spacing w:line="360" w:lineRule="auto"/>
              <w:jc w:val="center"/>
            </w:pPr>
            <w:r w:rsidRPr="00A95E01">
              <w:t>1057,0</w:t>
            </w:r>
          </w:p>
        </w:tc>
      </w:tr>
      <w:tr w:rsidR="00AB073E" w:rsidRPr="00A95E01" w:rsidTr="00643CAF">
        <w:trPr>
          <w:jc w:val="center"/>
        </w:trPr>
        <w:tc>
          <w:tcPr>
            <w:tcW w:w="0" w:type="auto"/>
            <w:tcBorders>
              <w:bottom w:val="single" w:sz="4" w:space="0" w:color="auto"/>
            </w:tcBorders>
            <w:vAlign w:val="center"/>
          </w:tcPr>
          <w:p w:rsidR="00AB073E" w:rsidRPr="00A95E01" w:rsidRDefault="00AB073E" w:rsidP="00643CAF">
            <w:pPr>
              <w:spacing w:line="360" w:lineRule="auto"/>
              <w:jc w:val="center"/>
            </w:pPr>
            <w:r w:rsidRPr="00A95E01">
              <w:t>m(solution) corrected (g)</w:t>
            </w:r>
          </w:p>
        </w:tc>
        <w:tc>
          <w:tcPr>
            <w:tcW w:w="0" w:type="auto"/>
            <w:tcBorders>
              <w:bottom w:val="single" w:sz="4" w:space="0" w:color="auto"/>
            </w:tcBorders>
            <w:vAlign w:val="center"/>
          </w:tcPr>
          <w:p w:rsidR="00AB073E" w:rsidRPr="00A95E01" w:rsidRDefault="00AB073E" w:rsidP="00643CAF">
            <w:pPr>
              <w:spacing w:line="360" w:lineRule="auto"/>
              <w:jc w:val="center"/>
            </w:pPr>
            <w:r w:rsidRPr="00A95E01">
              <w:t>15.12173</w:t>
            </w:r>
          </w:p>
        </w:tc>
        <w:tc>
          <w:tcPr>
            <w:tcW w:w="2954" w:type="dxa"/>
            <w:tcBorders>
              <w:bottom w:val="single" w:sz="4" w:space="0" w:color="auto"/>
            </w:tcBorders>
            <w:vAlign w:val="center"/>
          </w:tcPr>
          <w:p w:rsidR="00AB073E" w:rsidRPr="00A95E01" w:rsidRDefault="00AB073E" w:rsidP="00643CAF">
            <w:pPr>
              <w:spacing w:line="360" w:lineRule="auto"/>
              <w:jc w:val="center"/>
            </w:pPr>
            <w:r w:rsidRPr="00A95E01">
              <w:t>56.22635</w:t>
            </w:r>
          </w:p>
        </w:tc>
      </w:tr>
    </w:tbl>
    <w:p w:rsidR="00AB073E" w:rsidRPr="00A95E01" w:rsidRDefault="00BC7943" w:rsidP="00643CAF">
      <w:pPr>
        <w:spacing w:line="360" w:lineRule="auto"/>
        <w:ind w:left="360"/>
        <w:jc w:val="center"/>
      </w:pPr>
      <w:r w:rsidRPr="00A95E01">
        <w:rPr>
          <w:b/>
        </w:rPr>
        <w:t>Table 1</w:t>
      </w:r>
      <w:r w:rsidR="00AB073E" w:rsidRPr="00A95E01">
        <w:t xml:space="preserve"> Weight measurements of stock and diluted solutions, both the gross data and that corrected for air buoyancy are reported</w:t>
      </w:r>
    </w:p>
    <w:p w:rsidR="00AB073E" w:rsidRPr="00A95E01" w:rsidRDefault="00AB073E" w:rsidP="000D7B2E">
      <w:pPr>
        <w:pStyle w:val="JRNCBody"/>
      </w:pPr>
      <w:bookmarkStart w:id="3" w:name="_Ref24559123"/>
      <w:r w:rsidRPr="00A95E01">
        <w:rPr>
          <w:sz w:val="28"/>
          <w:szCs w:val="24"/>
          <w:lang w:val="en-US"/>
        </w:rPr>
        <w:t>Dilution factor calculation</w:t>
      </w:r>
      <w:bookmarkEnd w:id="3"/>
    </w:p>
    <w:p w:rsidR="00AB073E" w:rsidRPr="00A95E01" w:rsidRDefault="00AB073E" w:rsidP="006E074E">
      <w:pPr>
        <w:spacing w:line="360" w:lineRule="auto"/>
        <w:jc w:val="both"/>
      </w:pPr>
      <w:r w:rsidRPr="00A95E01">
        <w:t>By using the masses of the EQRAIN (</w:t>
      </w:r>
      <w:r w:rsidRPr="00A95E01">
        <w:rPr>
          <w:i/>
        </w:rPr>
        <w:t>m</w:t>
      </w:r>
      <w:r w:rsidRPr="00A95E01">
        <w:rPr>
          <w:i/>
          <w:vertAlign w:val="subscript"/>
        </w:rPr>
        <w:t>EQRAIN</w:t>
      </w:r>
      <w:r w:rsidRPr="00A95E01">
        <w:t>) and diluted EQRAIN (</w:t>
      </w:r>
      <w:r w:rsidRPr="00A95E01">
        <w:rPr>
          <w:i/>
        </w:rPr>
        <w:t>m</w:t>
      </w:r>
      <w:r w:rsidRPr="00A95E01">
        <w:rPr>
          <w:i/>
          <w:vertAlign w:val="subscript"/>
        </w:rPr>
        <w:t>dil. EQRAIN</w:t>
      </w:r>
      <w:r w:rsidRPr="00A95E01">
        <w:t xml:space="preserve">) solutions (corrected for air buoyancy), a dilution factor, </w:t>
      </w:r>
      <w:r w:rsidRPr="00A95E01">
        <w:rPr>
          <w:i/>
        </w:rPr>
        <w:t>DF</w:t>
      </w:r>
      <w:r w:rsidRPr="00A95E01">
        <w:t>, was evaluated as expressed in Eq</w:t>
      </w:r>
      <w:r w:rsidR="009322C4" w:rsidRPr="00A95E01">
        <w:t>. (</w:t>
      </w:r>
      <w:r w:rsidRPr="00A95E01">
        <w:t>6</w:t>
      </w:r>
      <w:r w:rsidR="009322C4" w:rsidRPr="00A95E01">
        <w:t>)</w:t>
      </w:r>
      <w:r w:rsidRPr="00A95E01">
        <w:t>.</w:t>
      </w:r>
    </w:p>
    <w:p w:rsidR="00AB073E" w:rsidRPr="00A95E01" w:rsidRDefault="00AB073E" w:rsidP="006E074E">
      <w:pPr>
        <w:spacing w:line="360" w:lineRule="auto"/>
        <w:jc w:val="center"/>
      </w:pPr>
      <m:oMath>
        <m:r>
          <w:rPr>
            <w:rFonts w:ascii="Cambria Math" w:hAnsi="Cambria Math"/>
          </w:rPr>
          <m:t>DF=</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dil. EQRAIN</m:t>
                </m:r>
              </m:sub>
            </m:sSub>
          </m:num>
          <m:den>
            <m:sSub>
              <m:sSubPr>
                <m:ctrlPr>
                  <w:rPr>
                    <w:rFonts w:ascii="Cambria Math" w:hAnsi="Cambria Math"/>
                    <w:i/>
                  </w:rPr>
                </m:ctrlPr>
              </m:sSubPr>
              <m:e>
                <m:r>
                  <w:rPr>
                    <w:rFonts w:ascii="Cambria Math" w:hAnsi="Cambria Math"/>
                  </w:rPr>
                  <m:t>m</m:t>
                </m:r>
              </m:e>
              <m:sub>
                <m:r>
                  <w:rPr>
                    <w:rFonts w:ascii="Cambria Math" w:hAnsi="Cambria Math"/>
                  </w:rPr>
                  <m:t>EQRAIN</m:t>
                </m:r>
              </m:sub>
            </m:sSub>
          </m:den>
        </m:f>
      </m:oMath>
      <w:r w:rsidR="009322C4" w:rsidRPr="00A95E01">
        <w:tab/>
      </w:r>
      <w:r w:rsidRPr="00A95E01">
        <w:t>(6)</w:t>
      </w:r>
    </w:p>
    <w:p w:rsidR="00AB073E" w:rsidRPr="00A95E01" w:rsidRDefault="00AB073E" w:rsidP="006E074E">
      <w:pPr>
        <w:spacing w:line="360" w:lineRule="auto"/>
        <w:jc w:val="both"/>
      </w:pPr>
      <w:r w:rsidRPr="00A95E01">
        <w:t xml:space="preserve">The relative standard uncertainty on </w:t>
      </w:r>
      <w:r w:rsidRPr="00A95E01">
        <w:rPr>
          <w:i/>
        </w:rPr>
        <w:t>DF</w:t>
      </w:r>
      <w:r w:rsidRPr="00A95E01">
        <w:t xml:space="preserve">, </w:t>
      </w:r>
      <w:r w:rsidRPr="00A95E01">
        <w:rPr>
          <w:i/>
        </w:rPr>
        <w:t>u</w:t>
      </w:r>
      <w:r w:rsidRPr="00A95E01">
        <w:rPr>
          <w:i/>
          <w:vertAlign w:val="subscript"/>
        </w:rPr>
        <w:t>r</w:t>
      </w:r>
      <w:r w:rsidRPr="00A95E01">
        <w:rPr>
          <w:i/>
        </w:rPr>
        <w:t xml:space="preserve">(DF), </w:t>
      </w:r>
      <w:r w:rsidRPr="00A95E01">
        <w:t>was expressed as shown in Eq</w:t>
      </w:r>
      <w:r w:rsidR="009322C4" w:rsidRPr="00A95E01">
        <w:t>.</w:t>
      </w:r>
      <w:r w:rsidRPr="00A95E01">
        <w:t xml:space="preserve"> </w:t>
      </w:r>
      <w:r w:rsidR="009322C4" w:rsidRPr="00A95E01">
        <w:t>(7)</w:t>
      </w:r>
      <w:r w:rsidRPr="00A95E01">
        <w:t xml:space="preserve">, considering that the standard uncertainty for mass values between 50 and 200 g is equal to  </w:t>
      </w:r>
      <w:r w:rsidRPr="00A95E01">
        <w:rPr>
          <w:i/>
        </w:rPr>
        <w:t>MPE</w:t>
      </w:r>
      <w:r w:rsidRPr="00A95E01">
        <w:t xml:space="preserve"> (</w:t>
      </w:r>
      <w:r w:rsidRPr="00A95E01">
        <w:rPr>
          <w:i/>
        </w:rPr>
        <w:t xml:space="preserve">MPE </w:t>
      </w:r>
      <w:r w:rsidRPr="00A95E01">
        <w:t xml:space="preserve">= 2 mg) divided by </w:t>
      </w:r>
      <m:oMath>
        <m:rad>
          <m:radPr>
            <m:degHide m:val="1"/>
            <m:ctrlPr>
              <w:rPr>
                <w:rFonts w:ascii="Cambria Math" w:hAnsi="Cambria Math"/>
                <w:i/>
              </w:rPr>
            </m:ctrlPr>
          </m:radPr>
          <m:deg/>
          <m:e>
            <m:r>
              <w:rPr>
                <w:rFonts w:ascii="Cambria Math" w:hAnsi="Cambria Math"/>
              </w:rPr>
              <m:t>3</m:t>
            </m:r>
          </m:e>
        </m:rad>
      </m:oMath>
      <w:r w:rsidRPr="00A95E01">
        <w:t xml:space="preserve"> (uniform distribution law).</w:t>
      </w:r>
    </w:p>
    <w:p w:rsidR="00AB073E" w:rsidRPr="00A95E01" w:rsidRDefault="00257004" w:rsidP="006E074E">
      <w:pPr>
        <w:spacing w:line="360" w:lineRule="auto"/>
        <w:jc w:val="both"/>
      </w:pPr>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r</m:t>
            </m:r>
          </m:sub>
        </m:sSub>
        <m:d>
          <m:dPr>
            <m:ctrlPr>
              <w:rPr>
                <w:rFonts w:ascii="Cambria Math" w:hAnsi="Cambria Math"/>
                <w:i/>
                <w:sz w:val="20"/>
                <w:szCs w:val="20"/>
              </w:rPr>
            </m:ctrlPr>
          </m:dPr>
          <m:e>
            <m:r>
              <w:rPr>
                <w:rFonts w:ascii="Cambria Math" w:hAnsi="Cambria Math"/>
                <w:sz w:val="20"/>
                <w:szCs w:val="20"/>
              </w:rPr>
              <m:t>DF</m:t>
            </m:r>
          </m:e>
        </m:d>
        <m:r>
          <w:rPr>
            <w:rFonts w:ascii="Cambria Math" w:hAnsi="Cambria Math"/>
            <w:sz w:val="20"/>
            <w:szCs w:val="20"/>
          </w:rPr>
          <m:t>=</m:t>
        </m:r>
        <m:rad>
          <m:radPr>
            <m:degHide m:val="1"/>
            <m:ctrlPr>
              <w:rPr>
                <w:rFonts w:ascii="Cambria Math" w:hAnsi="Cambria Math"/>
                <w:i/>
                <w:sz w:val="20"/>
                <w:szCs w:val="20"/>
              </w:rPr>
            </m:ctrlPr>
          </m:radPr>
          <m:deg/>
          <m:e>
            <m:sSubSup>
              <m:sSubSupPr>
                <m:ctrlPr>
                  <w:rPr>
                    <w:rFonts w:ascii="Cambria Math" w:hAnsi="Cambria Math"/>
                    <w:i/>
                    <w:sz w:val="20"/>
                    <w:szCs w:val="20"/>
                  </w:rPr>
                </m:ctrlPr>
              </m:sSubSupPr>
              <m:e>
                <m:r>
                  <w:rPr>
                    <w:rFonts w:ascii="Cambria Math" w:hAnsi="Cambria Math"/>
                    <w:sz w:val="20"/>
                    <w:szCs w:val="20"/>
                  </w:rPr>
                  <m:t>u</m:t>
                </m:r>
              </m:e>
              <m:sub>
                <m:r>
                  <w:rPr>
                    <w:rFonts w:ascii="Cambria Math" w:hAnsi="Cambria Math"/>
                    <w:sz w:val="20"/>
                    <w:szCs w:val="20"/>
                  </w:rPr>
                  <m:t>r</m:t>
                </m:r>
              </m:sub>
              <m:sup>
                <m:r>
                  <w:rPr>
                    <w:rFonts w:ascii="Cambria Math" w:hAnsi="Cambria Math"/>
                    <w:sz w:val="20"/>
                    <w:szCs w:val="20"/>
                  </w:rPr>
                  <m:t>2</m:t>
                </m:r>
              </m:sup>
            </m:sSubSup>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EQRAIN</m:t>
                    </m:r>
                  </m:sub>
                </m:sSub>
              </m:e>
            </m:d>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u</m:t>
                </m:r>
              </m:e>
              <m:sub>
                <m:r>
                  <w:rPr>
                    <w:rFonts w:ascii="Cambria Math" w:hAnsi="Cambria Math"/>
                    <w:sz w:val="20"/>
                    <w:szCs w:val="20"/>
                  </w:rPr>
                  <m:t>r</m:t>
                </m:r>
              </m:sub>
              <m:sup>
                <m:r>
                  <w:rPr>
                    <w:rFonts w:ascii="Cambria Math" w:hAnsi="Cambria Math"/>
                    <w:sz w:val="20"/>
                    <w:szCs w:val="20"/>
                  </w:rPr>
                  <m:t>2</m:t>
                </m:r>
              </m:sup>
            </m:sSubSup>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dil.  EQRAIN</m:t>
                    </m:r>
                  </m:sub>
                </m:sSub>
              </m:e>
            </m:d>
          </m:e>
        </m:ra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3</m:t>
                </m:r>
              </m:e>
            </m:rad>
          </m:den>
        </m:f>
        <m:rad>
          <m:radPr>
            <m:degHide m:val="1"/>
            <m:ctrlPr>
              <w:rPr>
                <w:rFonts w:ascii="Cambria Math" w:hAnsi="Cambria Math"/>
                <w:i/>
                <w:sz w:val="20"/>
                <w:szCs w:val="20"/>
              </w:rPr>
            </m:ctrlPr>
          </m:radPr>
          <m:deg/>
          <m:e>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MPE</m:t>
                        </m:r>
                      </m:num>
                      <m:den>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EQRAIN</m:t>
                            </m:r>
                          </m:sub>
                        </m:sSub>
                      </m:den>
                    </m:f>
                  </m:e>
                </m:d>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MPE</m:t>
                        </m:r>
                      </m:num>
                      <m:den>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dil.  EQRAIN</m:t>
                            </m:r>
                          </m:sub>
                        </m:sSub>
                      </m:den>
                    </m:f>
                  </m:e>
                </m:d>
              </m:e>
              <m:sup>
                <m:r>
                  <w:rPr>
                    <w:rFonts w:ascii="Cambria Math" w:hAnsi="Cambria Math"/>
                    <w:sz w:val="20"/>
                    <w:szCs w:val="20"/>
                  </w:rPr>
                  <m:t>2</m:t>
                </m:r>
              </m:sup>
            </m:sSup>
          </m:e>
        </m:rad>
        <m:r>
          <w:rPr>
            <w:rFonts w:ascii="Cambria Math" w:hAnsi="Cambria Math"/>
            <w:sz w:val="20"/>
            <w:szCs w:val="20"/>
          </w:rPr>
          <m:t>=0.008%</m:t>
        </m:r>
      </m:oMath>
      <w:r w:rsidR="00AB073E" w:rsidRPr="00A95E01">
        <w:rPr>
          <w:sz w:val="20"/>
          <w:szCs w:val="20"/>
        </w:rPr>
        <w:t xml:space="preserve"> </w:t>
      </w:r>
      <w:r w:rsidR="009322C4" w:rsidRPr="00A95E01">
        <w:tab/>
      </w:r>
      <w:r w:rsidR="00AB073E" w:rsidRPr="00A95E01">
        <w:t>(7)</w:t>
      </w:r>
    </w:p>
    <w:p w:rsidR="00AB073E" w:rsidRPr="00A95E01" w:rsidRDefault="00AB073E" w:rsidP="006E074E">
      <w:pPr>
        <w:spacing w:line="360" w:lineRule="auto"/>
        <w:jc w:val="both"/>
      </w:pPr>
      <w:r w:rsidRPr="00A95E01">
        <w:t>In Eq</w:t>
      </w:r>
      <w:r w:rsidR="00A30920" w:rsidRPr="00A95E01">
        <w:t>.</w:t>
      </w:r>
      <w:r w:rsidRPr="00A95E01">
        <w:t xml:space="preserve"> </w:t>
      </w:r>
      <w:r w:rsidR="00A30920" w:rsidRPr="00A95E01">
        <w:t>(</w:t>
      </w:r>
      <w:r w:rsidRPr="00A95E01">
        <w:t>7</w:t>
      </w:r>
      <w:r w:rsidR="00A30920" w:rsidRPr="00A95E01">
        <w:t>)</w:t>
      </w:r>
      <w:r w:rsidRPr="00A95E01">
        <w:t xml:space="preserve">, </w:t>
      </w:r>
      <m:oMath>
        <m:sSubSup>
          <m:sSubSupPr>
            <m:ctrlPr>
              <w:rPr>
                <w:rFonts w:ascii="Cambria Math" w:hAnsi="Cambria Math"/>
                <w:i/>
              </w:rPr>
            </m:ctrlPr>
          </m:sSubSupPr>
          <m:e>
            <m:r>
              <w:rPr>
                <w:rFonts w:ascii="Cambria Math" w:hAnsi="Cambria Math"/>
              </w:rPr>
              <m:t>u</m:t>
            </m:r>
          </m:e>
          <m:sub>
            <m:r>
              <w:rPr>
                <w:rFonts w:ascii="Cambria Math" w:hAnsi="Cambria Math"/>
              </w:rPr>
              <m:t>r</m:t>
            </m:r>
          </m:sub>
          <m:sup>
            <m:r>
              <w:rPr>
                <w:rFonts w:ascii="Cambria Math" w:hAnsi="Cambria Math"/>
              </w:rPr>
              <m:t>2</m:t>
            </m:r>
          </m:sup>
        </m:sSubSup>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EQRAIN</m:t>
                </m:r>
              </m:sub>
            </m:sSub>
          </m:e>
        </m:d>
      </m:oMath>
      <w:r w:rsidRPr="00A95E01">
        <w:t xml:space="preserve"> and </w:t>
      </w:r>
      <m:oMath>
        <m:sSubSup>
          <m:sSubSupPr>
            <m:ctrlPr>
              <w:rPr>
                <w:rFonts w:ascii="Cambria Math" w:hAnsi="Cambria Math"/>
                <w:i/>
              </w:rPr>
            </m:ctrlPr>
          </m:sSubSupPr>
          <m:e>
            <m:r>
              <w:rPr>
                <w:rFonts w:ascii="Cambria Math" w:hAnsi="Cambria Math"/>
              </w:rPr>
              <m:t>u</m:t>
            </m:r>
          </m:e>
          <m:sub>
            <m:r>
              <w:rPr>
                <w:rFonts w:ascii="Cambria Math" w:hAnsi="Cambria Math"/>
              </w:rPr>
              <m:t>r</m:t>
            </m:r>
          </m:sub>
          <m:sup>
            <m:r>
              <w:rPr>
                <w:rFonts w:ascii="Cambria Math" w:hAnsi="Cambria Math"/>
              </w:rPr>
              <m:t>2</m:t>
            </m:r>
          </m:sup>
        </m:sSubSup>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dil.  EQRAIN</m:t>
                </m:r>
              </m:sub>
            </m:sSub>
          </m:e>
        </m:d>
      </m:oMath>
      <w:r w:rsidRPr="00A95E01">
        <w:t xml:space="preserve"> are the relative variance of </w:t>
      </w:r>
      <w:r w:rsidRPr="00A95E01">
        <w:rPr>
          <w:i/>
        </w:rPr>
        <w:t>m</w:t>
      </w:r>
      <w:r w:rsidRPr="00A95E01">
        <w:rPr>
          <w:i/>
          <w:vertAlign w:val="subscript"/>
        </w:rPr>
        <w:t>EQRAIN</w:t>
      </w:r>
      <w:r w:rsidRPr="00A95E01">
        <w:t xml:space="preserve"> and </w:t>
      </w:r>
      <w:r w:rsidRPr="00A95E01">
        <w:rPr>
          <w:i/>
        </w:rPr>
        <w:t>m</w:t>
      </w:r>
      <w:r w:rsidRPr="00A95E01">
        <w:rPr>
          <w:i/>
          <w:vertAlign w:val="subscript"/>
        </w:rPr>
        <w:t>dil.</w:t>
      </w:r>
      <w:r w:rsidR="009A274C" w:rsidRPr="00A95E01">
        <w:rPr>
          <w:i/>
          <w:vertAlign w:val="subscript"/>
        </w:rPr>
        <w:t> </w:t>
      </w:r>
      <w:r w:rsidRPr="00A95E01">
        <w:rPr>
          <w:i/>
          <w:vertAlign w:val="subscript"/>
        </w:rPr>
        <w:t>EQRAIN</w:t>
      </w:r>
      <w:r w:rsidRPr="00A95E01">
        <w:t xml:space="preserve"> respectively, </w:t>
      </w:r>
      <w:r w:rsidRPr="00A95E01">
        <w:rPr>
          <w:i/>
        </w:rPr>
        <w:t>m</w:t>
      </w:r>
      <w:r w:rsidRPr="00A95E01">
        <w:rPr>
          <w:i/>
          <w:vertAlign w:val="subscript"/>
        </w:rPr>
        <w:t xml:space="preserve">EQRAIN </w:t>
      </w:r>
      <w:r w:rsidRPr="00A95E01">
        <w:t xml:space="preserve">= 15121.73 mg, </w:t>
      </w:r>
      <w:r w:rsidRPr="00A95E01">
        <w:rPr>
          <w:i/>
        </w:rPr>
        <w:t>m</w:t>
      </w:r>
      <w:r w:rsidRPr="00A95E01">
        <w:rPr>
          <w:i/>
          <w:vertAlign w:val="subscript"/>
        </w:rPr>
        <w:t xml:space="preserve">dil. EQRAIN </w:t>
      </w:r>
      <w:r w:rsidRPr="00A95E01">
        <w:t>= 56226.35</w:t>
      </w:r>
      <w:r w:rsidRPr="00A95E01">
        <w:rPr>
          <w:sz w:val="22"/>
        </w:rPr>
        <w:t> mg</w:t>
      </w:r>
      <w:r w:rsidRPr="00A95E01">
        <w:t xml:space="preserve"> and </w:t>
      </w:r>
      <w:r w:rsidRPr="00A95E01">
        <w:rPr>
          <w:i/>
        </w:rPr>
        <w:t xml:space="preserve">MPE </w:t>
      </w:r>
      <w:r w:rsidRPr="00A95E01">
        <w:t>= 2 mg.</w:t>
      </w:r>
    </w:p>
    <w:p w:rsidR="00AB073E" w:rsidRPr="00A95E01" w:rsidRDefault="00AB073E" w:rsidP="006E074E">
      <w:pPr>
        <w:spacing w:line="360" w:lineRule="auto"/>
        <w:jc w:val="both"/>
      </w:pPr>
      <w:r w:rsidRPr="00A95E01">
        <w:t>From Eq</w:t>
      </w:r>
      <w:r w:rsidR="009322C4" w:rsidRPr="00A95E01">
        <w:t>.</w:t>
      </w:r>
      <w:r w:rsidRPr="00A95E01">
        <w:t xml:space="preserve"> </w:t>
      </w:r>
      <w:r w:rsidR="009322C4" w:rsidRPr="00A95E01">
        <w:t>(</w:t>
      </w:r>
      <w:r w:rsidRPr="00A95E01">
        <w:t>6</w:t>
      </w:r>
      <w:r w:rsidR="009322C4" w:rsidRPr="00A95E01">
        <w:t>)</w:t>
      </w:r>
      <w:r w:rsidRPr="00A95E01">
        <w:t xml:space="preserve"> and </w:t>
      </w:r>
      <w:r w:rsidR="009322C4" w:rsidRPr="00A95E01">
        <w:t>(</w:t>
      </w:r>
      <w:r w:rsidRPr="00A95E01">
        <w:t>7</w:t>
      </w:r>
      <w:r w:rsidR="009322C4" w:rsidRPr="00A95E01">
        <w:t>)</w:t>
      </w:r>
      <w:r w:rsidRPr="00A95E01">
        <w:t>, DF was determined to be 3.71825±0.00059 (</w:t>
      </w:r>
      <w:r w:rsidRPr="00A95E01">
        <w:rPr>
          <w:i/>
        </w:rPr>
        <w:t>k=2</w:t>
      </w:r>
      <w:r w:rsidRPr="00A95E01">
        <w:t>)</w:t>
      </w:r>
      <w:r w:rsidR="009A274C" w:rsidRPr="00A95E01">
        <w:t xml:space="preserve"> </w:t>
      </w:r>
      <w:r w:rsidRPr="00A95E01">
        <w:t>for this experiment.</w:t>
      </w:r>
    </w:p>
    <w:p w:rsidR="00AB073E" w:rsidRPr="00A95E01" w:rsidRDefault="00AB073E" w:rsidP="000D7B2E">
      <w:pPr>
        <w:pStyle w:val="JRNCBody"/>
        <w:rPr>
          <w:lang w:val="en-US"/>
        </w:rPr>
      </w:pPr>
      <w:r w:rsidRPr="00A95E01">
        <w:rPr>
          <w:sz w:val="28"/>
          <w:szCs w:val="24"/>
          <w:lang w:val="en-US"/>
        </w:rPr>
        <w:t>Measurement of the Pu</w:t>
      </w:r>
      <w:r w:rsidR="009A274C" w:rsidRPr="00A95E01">
        <w:rPr>
          <w:sz w:val="28"/>
          <w:szCs w:val="24"/>
          <w:lang w:val="en-US"/>
        </w:rPr>
        <w:t>(IV)</w:t>
      </w:r>
      <w:r w:rsidRPr="00A95E01">
        <w:rPr>
          <w:sz w:val="28"/>
          <w:szCs w:val="24"/>
          <w:lang w:val="en-US"/>
        </w:rPr>
        <w:t>/Pu</w:t>
      </w:r>
      <w:r w:rsidR="009A274C" w:rsidRPr="00A95E01">
        <w:rPr>
          <w:sz w:val="28"/>
          <w:szCs w:val="24"/>
          <w:lang w:val="en-US"/>
        </w:rPr>
        <w:t>(III)</w:t>
      </w:r>
      <w:r w:rsidRPr="00A95E01">
        <w:rPr>
          <w:sz w:val="28"/>
          <w:szCs w:val="24"/>
          <w:lang w:val="en-US"/>
        </w:rPr>
        <w:t xml:space="preserve"> formal redox potential</w:t>
      </w:r>
    </w:p>
    <w:p w:rsidR="00AB073E" w:rsidRPr="00A95E01" w:rsidRDefault="00AB073E" w:rsidP="006E074E">
      <w:pPr>
        <w:spacing w:line="360" w:lineRule="auto"/>
        <w:jc w:val="both"/>
      </w:pPr>
      <w:r w:rsidRPr="00A95E01">
        <w:t>The determination of the formal potential (E°’) value in the same conditions as the CPC titration (using a gold electrode and a 0.9 mol/L HNO</w:t>
      </w:r>
      <w:r w:rsidRPr="00A95E01">
        <w:rPr>
          <w:vertAlign w:val="subscript"/>
        </w:rPr>
        <w:t>3</w:t>
      </w:r>
      <w:r w:rsidRPr="00A95E01">
        <w:t xml:space="preserve"> medium) is required in order to calculate the corrective factor </w:t>
      </w:r>
      <w:r w:rsidRPr="00A95E01">
        <w:rPr>
          <w:i/>
        </w:rPr>
        <w:t>f</w:t>
      </w:r>
      <w:r w:rsidRPr="00A95E01">
        <w:t xml:space="preserve">. E°’ was determined from a series of five coulograms, the results of which are reported in Table 4. Coulograms are plots of the quantity of electricity, </w:t>
      </w:r>
      <w:r w:rsidRPr="00A95E01">
        <w:rPr>
          <w:i/>
        </w:rPr>
        <w:lastRenderedPageBreak/>
        <w:t>Q</w:t>
      </w:r>
      <w:r w:rsidRPr="00A95E01">
        <w:t>, necessary to reach equilibrium (i.e. low current) from a completely reduced solution in function of the potential applied to the working electrode, E. The inflexion point of the curve observed in a coulogram corresponds to the studied couple’s E°’, a potential at w</w:t>
      </w:r>
      <w:r w:rsidR="009A274C" w:rsidRPr="00A95E01">
        <w:t xml:space="preserve">hich there is as much oxidizer </w:t>
      </w:r>
      <w:r w:rsidRPr="00A95E01">
        <w:t>Pu</w:t>
      </w:r>
      <w:r w:rsidR="009A274C" w:rsidRPr="00A95E01">
        <w:t>(IV)</w:t>
      </w:r>
      <w:r w:rsidRPr="00A95E01">
        <w:t xml:space="preserve"> as there is reducer </w:t>
      </w:r>
      <w:r w:rsidR="009A274C" w:rsidRPr="00A95E01">
        <w:t>Pu(III)</w:t>
      </w:r>
      <w:r w:rsidRPr="00A95E01">
        <w:t>. This inflexion point is determined by plotting ln(</w:t>
      </w:r>
      <w:r w:rsidRPr="00A95E01">
        <w:rPr>
          <w:i/>
        </w:rPr>
        <w:t>Q/Q</w:t>
      </w:r>
      <w:r w:rsidRPr="00A95E01">
        <w:rPr>
          <w:i/>
          <w:vertAlign w:val="subscript"/>
        </w:rPr>
        <w:t>max</w:t>
      </w:r>
      <w:r w:rsidRPr="00A95E01">
        <w:rPr>
          <w:i/>
        </w:rPr>
        <w:t>-Q</w:t>
      </w:r>
      <w:r w:rsidRPr="00A95E01">
        <w:t xml:space="preserve">) vs. E (where </w:t>
      </w:r>
      <w:r w:rsidRPr="00A95E01">
        <w:rPr>
          <w:i/>
        </w:rPr>
        <w:t>Q</w:t>
      </w:r>
      <w:r w:rsidRPr="00A95E01">
        <w:rPr>
          <w:i/>
          <w:vertAlign w:val="subscript"/>
        </w:rPr>
        <w:t>max</w:t>
      </w:r>
      <w:r w:rsidRPr="00A95E01">
        <w:t xml:space="preserve"> is the maximum value of </w:t>
      </w:r>
      <w:r w:rsidRPr="00A95E01">
        <w:rPr>
          <w:i/>
        </w:rPr>
        <w:t>Q</w:t>
      </w:r>
      <w:r w:rsidRPr="00A95E01">
        <w:t xml:space="preserve">) and determining the </w:t>
      </w:r>
      <w:r w:rsidRPr="00A95E01">
        <w:rPr>
          <w:i/>
        </w:rPr>
        <w:t>x-</w:t>
      </w:r>
      <w:r w:rsidRPr="00A95E01">
        <w:t>intercept of the linear regression of the plotted curve. An example of the determination of E°’ for a given experiment is presented in Fig</w:t>
      </w:r>
      <w:r w:rsidR="009A274C" w:rsidRPr="00A95E01">
        <w:t>.</w:t>
      </w:r>
      <w:r w:rsidRPr="00A95E01">
        <w:t> 2.</w:t>
      </w:r>
    </w:p>
    <w:tbl>
      <w:tblPr>
        <w:tblW w:w="0" w:type="auto"/>
        <w:tblInd w:w="360" w:type="dxa"/>
        <w:tblLook w:val="04A0" w:firstRow="1" w:lastRow="0" w:firstColumn="1" w:lastColumn="0" w:noHBand="0" w:noVBand="1"/>
      </w:tblPr>
      <w:tblGrid>
        <w:gridCol w:w="4101"/>
        <w:gridCol w:w="4179"/>
      </w:tblGrid>
      <w:tr w:rsidR="00AB073E" w:rsidRPr="00A95E01" w:rsidTr="00AB073E">
        <w:tc>
          <w:tcPr>
            <w:tcW w:w="4247" w:type="dxa"/>
          </w:tcPr>
          <w:p w:rsidR="00AB073E" w:rsidRPr="00A95E01" w:rsidRDefault="00AB073E" w:rsidP="00AB073E">
            <w:pPr>
              <w:jc w:val="center"/>
            </w:pPr>
            <w:r w:rsidRPr="00A95E01">
              <w:rPr>
                <w:noProof/>
                <w:lang w:val="fr-FR" w:eastAsia="fr-FR"/>
              </w:rPr>
              <w:drawing>
                <wp:inline distT="0" distB="0" distL="0" distR="0" wp14:anchorId="418E625E" wp14:editId="0E60833F">
                  <wp:extent cx="2261469" cy="1776678"/>
                  <wp:effectExtent l="0" t="0" r="571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597" cy="1797205"/>
                          </a:xfrm>
                          <a:prstGeom prst="rect">
                            <a:avLst/>
                          </a:prstGeom>
                          <a:noFill/>
                          <a:ln>
                            <a:noFill/>
                          </a:ln>
                        </pic:spPr>
                      </pic:pic>
                    </a:graphicData>
                  </a:graphic>
                </wp:inline>
              </w:drawing>
            </w:r>
          </w:p>
        </w:tc>
        <w:tc>
          <w:tcPr>
            <w:tcW w:w="4248" w:type="dxa"/>
          </w:tcPr>
          <w:p w:rsidR="00AB073E" w:rsidRPr="00A95E01" w:rsidRDefault="00AB073E" w:rsidP="00AB073E">
            <w:pPr>
              <w:jc w:val="center"/>
            </w:pPr>
            <w:r w:rsidRPr="00A95E01">
              <w:rPr>
                <w:noProof/>
                <w:lang w:val="fr-FR" w:eastAsia="fr-FR"/>
              </w:rPr>
              <w:drawing>
                <wp:inline distT="0" distB="0" distL="0" distR="0" wp14:anchorId="2797CC39" wp14:editId="0582735D">
                  <wp:extent cx="2422869" cy="17415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1452" cy="1762109"/>
                          </a:xfrm>
                          <a:prstGeom prst="rect">
                            <a:avLst/>
                          </a:prstGeom>
                          <a:noFill/>
                        </pic:spPr>
                      </pic:pic>
                    </a:graphicData>
                  </a:graphic>
                </wp:inline>
              </w:drawing>
            </w:r>
          </w:p>
        </w:tc>
      </w:tr>
      <w:tr w:rsidR="00AB073E" w:rsidRPr="00A95E01" w:rsidTr="00AB073E">
        <w:tc>
          <w:tcPr>
            <w:tcW w:w="4247" w:type="dxa"/>
          </w:tcPr>
          <w:p w:rsidR="00AB073E" w:rsidRPr="00A95E01" w:rsidRDefault="00AB073E" w:rsidP="00AB073E">
            <w:pPr>
              <w:jc w:val="center"/>
            </w:pPr>
            <w:r w:rsidRPr="00A95E01">
              <w:t>(a)</w:t>
            </w:r>
          </w:p>
        </w:tc>
        <w:tc>
          <w:tcPr>
            <w:tcW w:w="4248" w:type="dxa"/>
          </w:tcPr>
          <w:p w:rsidR="00AB073E" w:rsidRPr="00A95E01" w:rsidRDefault="00AB073E" w:rsidP="00AB073E">
            <w:pPr>
              <w:jc w:val="center"/>
            </w:pPr>
            <w:r w:rsidRPr="00A95E01">
              <w:t>(b)</w:t>
            </w:r>
          </w:p>
        </w:tc>
      </w:tr>
    </w:tbl>
    <w:p w:rsidR="00AB073E" w:rsidRPr="00A95E01" w:rsidRDefault="00AB073E" w:rsidP="006E074E">
      <w:pPr>
        <w:spacing w:line="360" w:lineRule="auto"/>
        <w:ind w:left="360"/>
        <w:jc w:val="both"/>
      </w:pPr>
      <w:r w:rsidRPr="00A95E01">
        <w:rPr>
          <w:b/>
        </w:rPr>
        <w:t>Fig</w:t>
      </w:r>
      <w:r w:rsidR="009A274C" w:rsidRPr="00A95E01">
        <w:rPr>
          <w:b/>
        </w:rPr>
        <w:t>.</w:t>
      </w:r>
      <w:r w:rsidRPr="00A95E01">
        <w:rPr>
          <w:b/>
        </w:rPr>
        <w:t xml:space="preserve"> 2</w:t>
      </w:r>
      <w:r w:rsidRPr="00A95E01">
        <w:t xml:space="preserve"> Coulogram of experiment LF06 for a Pu nitrate solution in 0.9 mol/L HNO</w:t>
      </w:r>
      <w:r w:rsidRPr="00A95E01">
        <w:rPr>
          <w:vertAlign w:val="subscript"/>
        </w:rPr>
        <w:t>3</w:t>
      </w:r>
      <w:r w:rsidRPr="00A95E01">
        <w:t xml:space="preserve"> and a small amount of sulfamic acid. In both graphs the experimental values are represented by the crosses whilst the lines show the simulation of the data calculated according to the Nernst law (a) and the linear regression used to determine E°’(b</w:t>
      </w:r>
      <w:r w:rsidR="009A274C" w:rsidRPr="00A95E01">
        <w:t>)</w:t>
      </w:r>
    </w:p>
    <w:p w:rsidR="00AB073E" w:rsidRPr="00A95E01" w:rsidRDefault="00AB073E" w:rsidP="006E074E">
      <w:pPr>
        <w:spacing w:line="360" w:lineRule="auto"/>
        <w:jc w:val="both"/>
      </w:pPr>
      <w:r w:rsidRPr="00A95E01">
        <w:t>The mean value of E°’ (671 ± 4) mV/SCE of the Pu</w:t>
      </w:r>
      <w:r w:rsidR="009A274C" w:rsidRPr="00A95E01">
        <w:t>(IV)</w:t>
      </w:r>
      <w:r w:rsidRPr="00A95E01">
        <w:t>/Pu</w:t>
      </w:r>
      <w:r w:rsidR="009A274C" w:rsidRPr="00A95E01">
        <w:t>(III)</w:t>
      </w:r>
      <w:r w:rsidRPr="00A95E01">
        <w:t xml:space="preserve"> couple calculated from coulograms during the present study is shown in Table 2 in relation to the values reported in literature for comparable media. It can be seen that the E°’ determined during this series of experiments is consistent with the previously reported values, demonstrating the validity of using coulograms for the determination of E°’ under the chosen experimental conditions.</w:t>
      </w:r>
    </w:p>
    <w:tbl>
      <w:tblPr>
        <w:tblW w:w="0" w:type="auto"/>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041"/>
        <w:gridCol w:w="1714"/>
        <w:gridCol w:w="1154"/>
        <w:gridCol w:w="1168"/>
      </w:tblGrid>
      <w:tr w:rsidR="00AB073E" w:rsidRPr="00A95E01" w:rsidTr="00AB073E">
        <w:trPr>
          <w:trHeight w:val="345"/>
          <w:jc w:val="center"/>
        </w:trPr>
        <w:tc>
          <w:tcPr>
            <w:tcW w:w="0" w:type="auto"/>
            <w:tcBorders>
              <w:bottom w:val="nil"/>
            </w:tcBorders>
            <w:shd w:val="clear" w:color="auto" w:fill="auto"/>
            <w:noWrap/>
            <w:vAlign w:val="center"/>
            <w:hideMark/>
          </w:tcPr>
          <w:p w:rsidR="00AB073E" w:rsidRPr="00A95E01" w:rsidRDefault="00AB073E" w:rsidP="009A274C">
            <w:pPr>
              <w:ind w:left="69"/>
              <w:jc w:val="center"/>
            </w:pPr>
            <w:r w:rsidRPr="00A95E01">
              <w:t>E°'(Pu</w:t>
            </w:r>
            <w:r w:rsidR="009A274C" w:rsidRPr="00A95E01">
              <w:t>(IV)</w:t>
            </w:r>
            <w:r w:rsidRPr="00A95E01">
              <w:t>/Pu</w:t>
            </w:r>
            <w:r w:rsidR="009A274C" w:rsidRPr="00A95E01">
              <w:t>(III)</w:t>
            </w:r>
            <w:r w:rsidRPr="00A95E01">
              <w:t>)</w:t>
            </w:r>
          </w:p>
        </w:tc>
        <w:tc>
          <w:tcPr>
            <w:tcW w:w="0" w:type="auto"/>
            <w:vMerge w:val="restart"/>
            <w:tcBorders>
              <w:bottom w:val="nil"/>
            </w:tcBorders>
            <w:shd w:val="clear" w:color="auto" w:fill="auto"/>
            <w:noWrap/>
            <w:vAlign w:val="center"/>
            <w:hideMark/>
          </w:tcPr>
          <w:p w:rsidR="00AB073E" w:rsidRPr="00A95E01" w:rsidRDefault="00AB073E" w:rsidP="00AB073E">
            <w:pPr>
              <w:ind w:left="360"/>
              <w:jc w:val="both"/>
            </w:pPr>
            <w:r w:rsidRPr="00A95E01">
              <w:t>Electrolyte</w:t>
            </w:r>
          </w:p>
        </w:tc>
        <w:tc>
          <w:tcPr>
            <w:tcW w:w="0" w:type="auto"/>
            <w:vMerge w:val="restart"/>
            <w:tcBorders>
              <w:bottom w:val="nil"/>
            </w:tcBorders>
            <w:shd w:val="clear" w:color="auto" w:fill="auto"/>
            <w:noWrap/>
            <w:vAlign w:val="center"/>
            <w:hideMark/>
          </w:tcPr>
          <w:p w:rsidR="00AB073E" w:rsidRPr="00A95E01" w:rsidRDefault="00AB073E" w:rsidP="00AB073E">
            <w:pPr>
              <w:ind w:left="360"/>
              <w:jc w:val="center"/>
            </w:pPr>
            <w:r w:rsidRPr="00A95E01">
              <w:t>Ref.</w:t>
            </w:r>
          </w:p>
        </w:tc>
        <w:tc>
          <w:tcPr>
            <w:tcW w:w="1168" w:type="dxa"/>
            <w:tcBorders>
              <w:bottom w:val="nil"/>
            </w:tcBorders>
            <w:vAlign w:val="center"/>
          </w:tcPr>
          <w:p w:rsidR="00AB073E" w:rsidRPr="00A95E01" w:rsidRDefault="00AB073E" w:rsidP="00AB073E">
            <w:pPr>
              <w:ind w:left="360"/>
              <w:jc w:val="center"/>
            </w:pPr>
            <w:r w:rsidRPr="00A95E01">
              <w:t>T</w:t>
            </w:r>
          </w:p>
        </w:tc>
      </w:tr>
      <w:tr w:rsidR="00AB073E" w:rsidRPr="00A95E01" w:rsidTr="00AB073E">
        <w:trPr>
          <w:trHeight w:val="300"/>
          <w:jc w:val="center"/>
        </w:trPr>
        <w:tc>
          <w:tcPr>
            <w:tcW w:w="0" w:type="auto"/>
            <w:tcBorders>
              <w:top w:val="nil"/>
              <w:bottom w:val="single" w:sz="4" w:space="0" w:color="auto"/>
            </w:tcBorders>
            <w:shd w:val="clear" w:color="auto" w:fill="auto"/>
            <w:noWrap/>
            <w:vAlign w:val="center"/>
            <w:hideMark/>
          </w:tcPr>
          <w:p w:rsidR="00AB073E" w:rsidRPr="00A95E01" w:rsidRDefault="00AB073E" w:rsidP="00AB073E">
            <w:pPr>
              <w:jc w:val="center"/>
            </w:pPr>
            <w:r w:rsidRPr="00A95E01">
              <w:t>mV/SCE</w:t>
            </w:r>
          </w:p>
        </w:tc>
        <w:tc>
          <w:tcPr>
            <w:tcW w:w="0" w:type="auto"/>
            <w:vMerge/>
            <w:tcBorders>
              <w:top w:val="nil"/>
              <w:bottom w:val="single" w:sz="4" w:space="0" w:color="auto"/>
            </w:tcBorders>
            <w:vAlign w:val="center"/>
            <w:hideMark/>
          </w:tcPr>
          <w:p w:rsidR="00AB073E" w:rsidRPr="00A95E01" w:rsidRDefault="00AB073E" w:rsidP="00AB073E">
            <w:pPr>
              <w:ind w:left="360"/>
              <w:jc w:val="both"/>
            </w:pPr>
          </w:p>
        </w:tc>
        <w:tc>
          <w:tcPr>
            <w:tcW w:w="0" w:type="auto"/>
            <w:vMerge/>
            <w:tcBorders>
              <w:top w:val="nil"/>
              <w:bottom w:val="single" w:sz="4" w:space="0" w:color="auto"/>
            </w:tcBorders>
            <w:vAlign w:val="center"/>
            <w:hideMark/>
          </w:tcPr>
          <w:p w:rsidR="00AB073E" w:rsidRPr="00A95E01" w:rsidRDefault="00AB073E" w:rsidP="00AB073E">
            <w:pPr>
              <w:ind w:left="360"/>
              <w:jc w:val="center"/>
            </w:pPr>
          </w:p>
        </w:tc>
        <w:tc>
          <w:tcPr>
            <w:tcW w:w="1168" w:type="dxa"/>
            <w:tcBorders>
              <w:top w:val="nil"/>
              <w:bottom w:val="single" w:sz="4" w:space="0" w:color="auto"/>
            </w:tcBorders>
            <w:vAlign w:val="center"/>
          </w:tcPr>
          <w:p w:rsidR="00AB073E" w:rsidRPr="00A95E01" w:rsidRDefault="00AB073E" w:rsidP="00AB073E">
            <w:pPr>
              <w:ind w:left="360"/>
              <w:jc w:val="center"/>
            </w:pPr>
            <w:r w:rsidRPr="00A95E01">
              <w:t>°C</w:t>
            </w:r>
          </w:p>
        </w:tc>
      </w:tr>
      <w:tr w:rsidR="00AB073E" w:rsidRPr="00A95E01" w:rsidTr="00AB073E">
        <w:trPr>
          <w:trHeight w:val="300"/>
          <w:jc w:val="center"/>
        </w:trPr>
        <w:tc>
          <w:tcPr>
            <w:tcW w:w="0" w:type="auto"/>
            <w:tcBorders>
              <w:top w:val="single" w:sz="4" w:space="0" w:color="auto"/>
            </w:tcBorders>
            <w:shd w:val="clear" w:color="auto" w:fill="auto"/>
            <w:noWrap/>
            <w:vAlign w:val="center"/>
          </w:tcPr>
          <w:p w:rsidR="00AB073E" w:rsidRPr="00A95E01" w:rsidRDefault="00AB073E" w:rsidP="00AB073E">
            <w:pPr>
              <w:ind w:left="360"/>
              <w:jc w:val="both"/>
            </w:pPr>
            <w:r w:rsidRPr="00A95E01">
              <w:t>690</w:t>
            </w:r>
          </w:p>
        </w:tc>
        <w:tc>
          <w:tcPr>
            <w:tcW w:w="0" w:type="auto"/>
            <w:tcBorders>
              <w:top w:val="single" w:sz="4" w:space="0" w:color="auto"/>
            </w:tcBorders>
            <w:vAlign w:val="center"/>
          </w:tcPr>
          <w:p w:rsidR="00AB073E" w:rsidRPr="00A95E01" w:rsidRDefault="00AB073E" w:rsidP="00AB073E">
            <w:pPr>
              <w:ind w:left="360"/>
              <w:jc w:val="both"/>
            </w:pPr>
            <w:r w:rsidRPr="00A95E01">
              <w:t>HNO</w:t>
            </w:r>
            <w:r w:rsidRPr="00A95E01">
              <w:rPr>
                <w:vertAlign w:val="subscript"/>
              </w:rPr>
              <w:t>3</w:t>
            </w:r>
            <w:r w:rsidRPr="00A95E01">
              <w:t xml:space="preserve"> 1M</w:t>
            </w:r>
          </w:p>
        </w:tc>
        <w:tc>
          <w:tcPr>
            <w:tcW w:w="0" w:type="auto"/>
            <w:tcBorders>
              <w:top w:val="single" w:sz="4" w:space="0" w:color="auto"/>
            </w:tcBorders>
            <w:vAlign w:val="center"/>
          </w:tcPr>
          <w:p w:rsidR="00AB073E" w:rsidRPr="00A95E01" w:rsidRDefault="009A274C" w:rsidP="0001333A">
            <w:pPr>
              <w:ind w:left="360"/>
              <w:jc w:val="center"/>
            </w:pPr>
            <w:r w:rsidRPr="00A95E01">
              <w:rPr>
                <w:sz w:val="16"/>
                <w:szCs w:val="16"/>
              </w:rPr>
              <w:t>[16]</w:t>
            </w:r>
          </w:p>
        </w:tc>
        <w:tc>
          <w:tcPr>
            <w:tcW w:w="1168" w:type="dxa"/>
            <w:tcBorders>
              <w:top w:val="single" w:sz="4" w:space="0" w:color="auto"/>
            </w:tcBorders>
            <w:vAlign w:val="center"/>
          </w:tcPr>
          <w:p w:rsidR="00AB073E" w:rsidRPr="00A95E01" w:rsidRDefault="00AB073E" w:rsidP="00AB073E">
            <w:pPr>
              <w:ind w:left="360"/>
              <w:jc w:val="center"/>
              <w:rPr>
                <w:sz w:val="16"/>
                <w:szCs w:val="16"/>
              </w:rPr>
            </w:pPr>
            <w:r w:rsidRPr="00A95E01">
              <w:rPr>
                <w:sz w:val="16"/>
                <w:szCs w:val="16"/>
              </w:rPr>
              <w:t>room T</w:t>
            </w:r>
          </w:p>
        </w:tc>
      </w:tr>
      <w:tr w:rsidR="00AB073E" w:rsidRPr="00A95E01" w:rsidTr="00AB073E">
        <w:trPr>
          <w:trHeight w:val="360"/>
          <w:jc w:val="center"/>
        </w:trPr>
        <w:tc>
          <w:tcPr>
            <w:tcW w:w="0" w:type="auto"/>
            <w:shd w:val="clear" w:color="auto" w:fill="auto"/>
            <w:noWrap/>
            <w:vAlign w:val="center"/>
            <w:hideMark/>
          </w:tcPr>
          <w:p w:rsidR="00AB073E" w:rsidRPr="00A95E01" w:rsidRDefault="00AB073E" w:rsidP="00AB073E">
            <w:pPr>
              <w:ind w:left="360"/>
              <w:jc w:val="both"/>
            </w:pPr>
            <w:r w:rsidRPr="00A95E01">
              <w:t>674.2</w:t>
            </w:r>
          </w:p>
        </w:tc>
        <w:tc>
          <w:tcPr>
            <w:tcW w:w="0" w:type="auto"/>
            <w:shd w:val="clear" w:color="auto" w:fill="auto"/>
            <w:noWrap/>
            <w:vAlign w:val="center"/>
            <w:hideMark/>
          </w:tcPr>
          <w:p w:rsidR="00AB073E" w:rsidRPr="00A95E01" w:rsidRDefault="00AB073E" w:rsidP="00AB073E">
            <w:pPr>
              <w:ind w:left="360"/>
            </w:pPr>
            <w:r w:rsidRPr="00A95E01">
              <w:t>HNO</w:t>
            </w:r>
            <w:r w:rsidRPr="00A95E01">
              <w:rPr>
                <w:vertAlign w:val="subscript"/>
              </w:rPr>
              <w:t>3</w:t>
            </w:r>
            <w:r w:rsidRPr="00A95E01">
              <w:t xml:space="preserve"> 1M</w:t>
            </w:r>
          </w:p>
        </w:tc>
        <w:tc>
          <w:tcPr>
            <w:tcW w:w="0" w:type="auto"/>
            <w:shd w:val="clear" w:color="auto" w:fill="auto"/>
            <w:noWrap/>
            <w:vAlign w:val="center"/>
            <w:hideMark/>
          </w:tcPr>
          <w:p w:rsidR="00AB073E" w:rsidRPr="00A95E01" w:rsidRDefault="00372086" w:rsidP="0001333A">
            <w:pPr>
              <w:ind w:left="360"/>
              <w:jc w:val="center"/>
              <w:rPr>
                <w:sz w:val="16"/>
                <w:szCs w:val="16"/>
              </w:rPr>
            </w:pPr>
            <w:r w:rsidRPr="00372086">
              <w:rPr>
                <w:sz w:val="16"/>
              </w:rPr>
              <w:t>[17]</w:t>
            </w:r>
          </w:p>
        </w:tc>
        <w:tc>
          <w:tcPr>
            <w:tcW w:w="1168" w:type="dxa"/>
            <w:vAlign w:val="center"/>
          </w:tcPr>
          <w:p w:rsidR="00AB073E" w:rsidRPr="00A95E01" w:rsidRDefault="00AB073E" w:rsidP="00AB073E">
            <w:pPr>
              <w:ind w:left="360"/>
              <w:jc w:val="center"/>
              <w:rPr>
                <w:sz w:val="16"/>
                <w:szCs w:val="16"/>
              </w:rPr>
            </w:pPr>
            <w:r w:rsidRPr="00A95E01">
              <w:rPr>
                <w:sz w:val="16"/>
                <w:szCs w:val="16"/>
              </w:rPr>
              <w:t>room T</w:t>
            </w:r>
          </w:p>
        </w:tc>
      </w:tr>
      <w:tr w:rsidR="00AB073E" w:rsidRPr="00A95E01" w:rsidTr="00AB073E">
        <w:trPr>
          <w:trHeight w:val="360"/>
          <w:jc w:val="center"/>
        </w:trPr>
        <w:tc>
          <w:tcPr>
            <w:tcW w:w="0" w:type="auto"/>
            <w:shd w:val="clear" w:color="auto" w:fill="auto"/>
            <w:noWrap/>
            <w:vAlign w:val="center"/>
          </w:tcPr>
          <w:p w:rsidR="00AB073E" w:rsidRPr="00A95E01" w:rsidRDefault="00AB073E" w:rsidP="00AB073E">
            <w:pPr>
              <w:ind w:left="360"/>
              <w:jc w:val="both"/>
            </w:pPr>
            <w:r w:rsidRPr="00A95E01">
              <w:t>677</w:t>
            </w:r>
          </w:p>
        </w:tc>
        <w:tc>
          <w:tcPr>
            <w:tcW w:w="0" w:type="auto"/>
            <w:shd w:val="clear" w:color="auto" w:fill="auto"/>
            <w:noWrap/>
            <w:vAlign w:val="center"/>
          </w:tcPr>
          <w:p w:rsidR="00AB073E" w:rsidRPr="00A95E01" w:rsidRDefault="00AB073E" w:rsidP="00AB073E">
            <w:pPr>
              <w:ind w:left="360"/>
            </w:pPr>
            <w:r w:rsidRPr="00A95E01">
              <w:t>HNO</w:t>
            </w:r>
            <w:r w:rsidRPr="00A95E01">
              <w:rPr>
                <w:vertAlign w:val="subscript"/>
              </w:rPr>
              <w:t>3</w:t>
            </w:r>
            <w:r w:rsidRPr="00A95E01">
              <w:t xml:space="preserve"> 0.9M</w:t>
            </w:r>
          </w:p>
        </w:tc>
        <w:tc>
          <w:tcPr>
            <w:tcW w:w="0" w:type="auto"/>
            <w:shd w:val="clear" w:color="auto" w:fill="auto"/>
            <w:noWrap/>
            <w:vAlign w:val="center"/>
          </w:tcPr>
          <w:p w:rsidR="00AB073E" w:rsidRPr="00A95E01" w:rsidRDefault="009A274C" w:rsidP="0001333A">
            <w:pPr>
              <w:ind w:left="360"/>
              <w:jc w:val="center"/>
              <w:rPr>
                <w:sz w:val="16"/>
                <w:szCs w:val="16"/>
              </w:rPr>
            </w:pPr>
            <w:r w:rsidRPr="00A95E01">
              <w:rPr>
                <w:sz w:val="16"/>
                <w:szCs w:val="16"/>
              </w:rPr>
              <w:t>[8]</w:t>
            </w:r>
          </w:p>
        </w:tc>
        <w:tc>
          <w:tcPr>
            <w:tcW w:w="1168" w:type="dxa"/>
            <w:vAlign w:val="center"/>
          </w:tcPr>
          <w:p w:rsidR="00AB073E" w:rsidRPr="00A95E01" w:rsidRDefault="00AB073E" w:rsidP="00AB073E">
            <w:pPr>
              <w:ind w:left="360"/>
              <w:jc w:val="center"/>
              <w:rPr>
                <w:sz w:val="16"/>
                <w:szCs w:val="16"/>
              </w:rPr>
            </w:pPr>
            <w:r w:rsidRPr="00A95E01">
              <w:rPr>
                <w:sz w:val="16"/>
                <w:szCs w:val="16"/>
              </w:rPr>
              <w:t>25</w:t>
            </w:r>
          </w:p>
        </w:tc>
      </w:tr>
      <w:tr w:rsidR="00AB073E" w:rsidRPr="00A95E01" w:rsidTr="00AB073E">
        <w:trPr>
          <w:trHeight w:val="360"/>
          <w:jc w:val="center"/>
        </w:trPr>
        <w:tc>
          <w:tcPr>
            <w:tcW w:w="0" w:type="auto"/>
            <w:shd w:val="clear" w:color="auto" w:fill="auto"/>
            <w:noWrap/>
            <w:vAlign w:val="center"/>
            <w:hideMark/>
          </w:tcPr>
          <w:p w:rsidR="00AB073E" w:rsidRPr="00A95E01" w:rsidRDefault="00AB073E" w:rsidP="00AB073E">
            <w:pPr>
              <w:ind w:left="360"/>
              <w:jc w:val="both"/>
            </w:pPr>
            <w:r w:rsidRPr="00A95E01">
              <w:t>673 ±5</w:t>
            </w:r>
          </w:p>
        </w:tc>
        <w:tc>
          <w:tcPr>
            <w:tcW w:w="0" w:type="auto"/>
            <w:shd w:val="clear" w:color="auto" w:fill="auto"/>
            <w:noWrap/>
            <w:vAlign w:val="center"/>
            <w:hideMark/>
          </w:tcPr>
          <w:p w:rsidR="00AB073E" w:rsidRPr="00A95E01" w:rsidRDefault="00AB073E" w:rsidP="00AB073E">
            <w:pPr>
              <w:ind w:left="360"/>
            </w:pPr>
            <w:r w:rsidRPr="00A95E01">
              <w:t>HNO</w:t>
            </w:r>
            <w:r w:rsidRPr="00A95E01">
              <w:rPr>
                <w:vertAlign w:val="subscript"/>
              </w:rPr>
              <w:t>3</w:t>
            </w:r>
            <w:r w:rsidRPr="00A95E01">
              <w:t xml:space="preserve"> 0.9M</w:t>
            </w:r>
          </w:p>
        </w:tc>
        <w:tc>
          <w:tcPr>
            <w:tcW w:w="0" w:type="auto"/>
            <w:shd w:val="clear" w:color="auto" w:fill="auto"/>
            <w:noWrap/>
            <w:vAlign w:val="center"/>
            <w:hideMark/>
          </w:tcPr>
          <w:p w:rsidR="00AB073E" w:rsidRPr="00A95E01" w:rsidRDefault="009A274C" w:rsidP="0001333A">
            <w:pPr>
              <w:ind w:left="360"/>
              <w:jc w:val="center"/>
              <w:rPr>
                <w:sz w:val="16"/>
                <w:szCs w:val="16"/>
              </w:rPr>
            </w:pPr>
            <w:r w:rsidRPr="00A95E01">
              <w:rPr>
                <w:sz w:val="16"/>
                <w:szCs w:val="16"/>
              </w:rPr>
              <w:t>[3]</w:t>
            </w:r>
          </w:p>
        </w:tc>
        <w:tc>
          <w:tcPr>
            <w:tcW w:w="1168" w:type="dxa"/>
            <w:vAlign w:val="center"/>
          </w:tcPr>
          <w:p w:rsidR="00AB073E" w:rsidRPr="00A95E01" w:rsidRDefault="00AB073E" w:rsidP="00AB073E">
            <w:pPr>
              <w:ind w:left="360"/>
              <w:jc w:val="center"/>
              <w:rPr>
                <w:sz w:val="16"/>
                <w:szCs w:val="16"/>
              </w:rPr>
            </w:pPr>
            <w:r w:rsidRPr="00A95E01">
              <w:rPr>
                <w:sz w:val="16"/>
                <w:szCs w:val="16"/>
              </w:rPr>
              <w:t>room T</w:t>
            </w:r>
          </w:p>
        </w:tc>
      </w:tr>
      <w:tr w:rsidR="00AB073E" w:rsidRPr="00A95E01" w:rsidTr="00AB073E">
        <w:trPr>
          <w:trHeight w:val="360"/>
          <w:jc w:val="center"/>
        </w:trPr>
        <w:tc>
          <w:tcPr>
            <w:tcW w:w="0" w:type="auto"/>
            <w:shd w:val="clear" w:color="auto" w:fill="auto"/>
            <w:noWrap/>
            <w:vAlign w:val="center"/>
            <w:hideMark/>
          </w:tcPr>
          <w:p w:rsidR="00AB073E" w:rsidRPr="00A95E01" w:rsidRDefault="00AB073E" w:rsidP="00AB073E">
            <w:pPr>
              <w:ind w:left="360"/>
              <w:jc w:val="both"/>
            </w:pPr>
            <w:r w:rsidRPr="00A95E01">
              <w:t>678±6</w:t>
            </w:r>
          </w:p>
        </w:tc>
        <w:tc>
          <w:tcPr>
            <w:tcW w:w="0" w:type="auto"/>
            <w:shd w:val="clear" w:color="auto" w:fill="auto"/>
            <w:noWrap/>
            <w:vAlign w:val="center"/>
            <w:hideMark/>
          </w:tcPr>
          <w:p w:rsidR="00AB073E" w:rsidRPr="00A95E01" w:rsidRDefault="00AB073E" w:rsidP="00AB073E">
            <w:pPr>
              <w:ind w:left="360"/>
            </w:pPr>
            <w:r w:rsidRPr="00A95E01">
              <w:t>HNO</w:t>
            </w:r>
            <w:r w:rsidRPr="00A95E01">
              <w:rPr>
                <w:vertAlign w:val="subscript"/>
              </w:rPr>
              <w:t>3</w:t>
            </w:r>
            <w:r w:rsidRPr="00A95E01">
              <w:t xml:space="preserve"> 1M</w:t>
            </w:r>
          </w:p>
        </w:tc>
        <w:tc>
          <w:tcPr>
            <w:tcW w:w="0" w:type="auto"/>
            <w:shd w:val="clear" w:color="auto" w:fill="auto"/>
            <w:noWrap/>
            <w:vAlign w:val="center"/>
            <w:hideMark/>
          </w:tcPr>
          <w:p w:rsidR="00AB073E" w:rsidRPr="00A95E01" w:rsidRDefault="00372086" w:rsidP="0001333A">
            <w:pPr>
              <w:ind w:left="360"/>
              <w:jc w:val="center"/>
              <w:rPr>
                <w:sz w:val="16"/>
                <w:szCs w:val="16"/>
              </w:rPr>
            </w:pPr>
            <w:r w:rsidRPr="00372086">
              <w:rPr>
                <w:sz w:val="16"/>
              </w:rPr>
              <w:t>[18]</w:t>
            </w:r>
          </w:p>
        </w:tc>
        <w:tc>
          <w:tcPr>
            <w:tcW w:w="1168" w:type="dxa"/>
            <w:vAlign w:val="center"/>
          </w:tcPr>
          <w:p w:rsidR="00AB073E" w:rsidRPr="00A95E01" w:rsidRDefault="00AB073E" w:rsidP="00AB073E">
            <w:pPr>
              <w:ind w:left="360"/>
              <w:jc w:val="center"/>
              <w:rPr>
                <w:sz w:val="16"/>
                <w:szCs w:val="16"/>
              </w:rPr>
            </w:pPr>
            <w:r w:rsidRPr="00A95E01">
              <w:rPr>
                <w:sz w:val="16"/>
                <w:szCs w:val="16"/>
              </w:rPr>
              <w:t>25</w:t>
            </w:r>
          </w:p>
        </w:tc>
      </w:tr>
      <w:tr w:rsidR="00AB073E" w:rsidRPr="00A95E01" w:rsidTr="00AB073E">
        <w:trPr>
          <w:trHeight w:val="360"/>
          <w:jc w:val="center"/>
        </w:trPr>
        <w:tc>
          <w:tcPr>
            <w:tcW w:w="0" w:type="auto"/>
            <w:shd w:val="clear" w:color="auto" w:fill="auto"/>
            <w:noWrap/>
            <w:vAlign w:val="center"/>
          </w:tcPr>
          <w:p w:rsidR="00AB073E" w:rsidRPr="00A95E01" w:rsidRDefault="00AB073E" w:rsidP="00AB073E">
            <w:pPr>
              <w:ind w:left="360"/>
              <w:jc w:val="both"/>
            </w:pPr>
            <w:r w:rsidRPr="00A95E01">
              <w:t>682±10</w:t>
            </w:r>
          </w:p>
        </w:tc>
        <w:tc>
          <w:tcPr>
            <w:tcW w:w="0" w:type="auto"/>
            <w:shd w:val="clear" w:color="auto" w:fill="auto"/>
            <w:noWrap/>
            <w:vAlign w:val="center"/>
          </w:tcPr>
          <w:p w:rsidR="00AB073E" w:rsidRPr="00A95E01" w:rsidRDefault="00AB073E" w:rsidP="00AB073E">
            <w:pPr>
              <w:ind w:left="360"/>
            </w:pPr>
            <w:r w:rsidRPr="00A95E01">
              <w:t>HNO</w:t>
            </w:r>
            <w:r w:rsidRPr="00A95E01">
              <w:rPr>
                <w:vertAlign w:val="subscript"/>
              </w:rPr>
              <w:t>3</w:t>
            </w:r>
            <w:r w:rsidRPr="00A95E01">
              <w:t xml:space="preserve"> 1M</w:t>
            </w:r>
          </w:p>
        </w:tc>
        <w:tc>
          <w:tcPr>
            <w:tcW w:w="0" w:type="auto"/>
            <w:shd w:val="clear" w:color="auto" w:fill="auto"/>
            <w:noWrap/>
            <w:vAlign w:val="center"/>
          </w:tcPr>
          <w:p w:rsidR="00AB073E" w:rsidRPr="00A95E01" w:rsidRDefault="00372086" w:rsidP="0001333A">
            <w:pPr>
              <w:ind w:left="360"/>
              <w:jc w:val="center"/>
              <w:rPr>
                <w:sz w:val="16"/>
                <w:szCs w:val="16"/>
              </w:rPr>
            </w:pPr>
            <w:r w:rsidRPr="00372086">
              <w:rPr>
                <w:sz w:val="16"/>
              </w:rPr>
              <w:t>[19]</w:t>
            </w:r>
          </w:p>
        </w:tc>
        <w:tc>
          <w:tcPr>
            <w:tcW w:w="1168" w:type="dxa"/>
            <w:vAlign w:val="center"/>
          </w:tcPr>
          <w:p w:rsidR="00AB073E" w:rsidRPr="00A95E01" w:rsidRDefault="00AB073E" w:rsidP="00AB073E">
            <w:pPr>
              <w:ind w:left="360"/>
              <w:jc w:val="center"/>
              <w:rPr>
                <w:sz w:val="16"/>
                <w:szCs w:val="16"/>
              </w:rPr>
            </w:pPr>
            <w:r w:rsidRPr="00A95E01">
              <w:rPr>
                <w:sz w:val="16"/>
                <w:szCs w:val="16"/>
              </w:rPr>
              <w:t>25</w:t>
            </w:r>
          </w:p>
        </w:tc>
      </w:tr>
      <w:tr w:rsidR="00AB073E" w:rsidRPr="00A95E01" w:rsidTr="00AB073E">
        <w:trPr>
          <w:trHeight w:val="360"/>
          <w:jc w:val="center"/>
        </w:trPr>
        <w:tc>
          <w:tcPr>
            <w:tcW w:w="0" w:type="auto"/>
            <w:shd w:val="clear" w:color="auto" w:fill="auto"/>
            <w:noWrap/>
            <w:vAlign w:val="center"/>
            <w:hideMark/>
          </w:tcPr>
          <w:p w:rsidR="00AB073E" w:rsidRPr="00A95E01" w:rsidRDefault="00AB073E" w:rsidP="00AB073E">
            <w:pPr>
              <w:ind w:left="360"/>
              <w:jc w:val="both"/>
            </w:pPr>
            <w:r w:rsidRPr="00A95E01">
              <w:t>668</w:t>
            </w:r>
          </w:p>
        </w:tc>
        <w:tc>
          <w:tcPr>
            <w:tcW w:w="0" w:type="auto"/>
            <w:shd w:val="clear" w:color="auto" w:fill="auto"/>
            <w:noWrap/>
            <w:vAlign w:val="center"/>
            <w:hideMark/>
          </w:tcPr>
          <w:p w:rsidR="00AB073E" w:rsidRPr="00A95E01" w:rsidRDefault="00AB073E" w:rsidP="00AB073E">
            <w:pPr>
              <w:ind w:left="360"/>
            </w:pPr>
            <w:r w:rsidRPr="00A95E01">
              <w:t>HNO</w:t>
            </w:r>
            <w:r w:rsidRPr="00A95E01">
              <w:rPr>
                <w:vertAlign w:val="subscript"/>
              </w:rPr>
              <w:t>3</w:t>
            </w:r>
            <w:r w:rsidRPr="00A95E01">
              <w:t xml:space="preserve"> 0.9M</w:t>
            </w:r>
          </w:p>
        </w:tc>
        <w:tc>
          <w:tcPr>
            <w:tcW w:w="0" w:type="auto"/>
            <w:shd w:val="clear" w:color="auto" w:fill="auto"/>
            <w:noWrap/>
            <w:vAlign w:val="center"/>
            <w:hideMark/>
          </w:tcPr>
          <w:p w:rsidR="00AB073E" w:rsidRPr="00A95E01" w:rsidRDefault="009A274C" w:rsidP="0001333A">
            <w:pPr>
              <w:ind w:left="360"/>
              <w:jc w:val="center"/>
              <w:rPr>
                <w:sz w:val="16"/>
                <w:szCs w:val="16"/>
              </w:rPr>
            </w:pPr>
            <w:r w:rsidRPr="00A95E01">
              <w:rPr>
                <w:sz w:val="16"/>
                <w:szCs w:val="16"/>
              </w:rPr>
              <w:t>[5]</w:t>
            </w:r>
          </w:p>
        </w:tc>
        <w:tc>
          <w:tcPr>
            <w:tcW w:w="1168" w:type="dxa"/>
            <w:vAlign w:val="center"/>
          </w:tcPr>
          <w:p w:rsidR="00AB073E" w:rsidRPr="00A95E01" w:rsidRDefault="00AB073E" w:rsidP="00AB073E">
            <w:pPr>
              <w:ind w:left="360"/>
              <w:jc w:val="center"/>
              <w:rPr>
                <w:sz w:val="16"/>
                <w:szCs w:val="16"/>
              </w:rPr>
            </w:pPr>
          </w:p>
        </w:tc>
      </w:tr>
      <w:tr w:rsidR="00AB073E" w:rsidRPr="00A95E01" w:rsidTr="00AB073E">
        <w:trPr>
          <w:trHeight w:val="360"/>
          <w:jc w:val="center"/>
        </w:trPr>
        <w:tc>
          <w:tcPr>
            <w:tcW w:w="0" w:type="auto"/>
            <w:shd w:val="clear" w:color="auto" w:fill="auto"/>
            <w:noWrap/>
            <w:vAlign w:val="center"/>
          </w:tcPr>
          <w:p w:rsidR="00AB073E" w:rsidRPr="00A95E01" w:rsidRDefault="00AB073E" w:rsidP="00AB073E">
            <w:pPr>
              <w:ind w:left="360"/>
              <w:jc w:val="both"/>
            </w:pPr>
            <w:r w:rsidRPr="00A95E01">
              <w:lastRenderedPageBreak/>
              <w:t>671±4</w:t>
            </w:r>
          </w:p>
        </w:tc>
        <w:tc>
          <w:tcPr>
            <w:tcW w:w="0" w:type="auto"/>
            <w:shd w:val="clear" w:color="auto" w:fill="auto"/>
            <w:noWrap/>
            <w:vAlign w:val="center"/>
          </w:tcPr>
          <w:p w:rsidR="00AB073E" w:rsidRPr="00A95E01" w:rsidRDefault="00AB073E" w:rsidP="00AB073E">
            <w:pPr>
              <w:ind w:left="360"/>
            </w:pPr>
            <w:r w:rsidRPr="00A95E01">
              <w:t>HNO3 0.9M</w:t>
            </w:r>
          </w:p>
        </w:tc>
        <w:tc>
          <w:tcPr>
            <w:tcW w:w="0" w:type="auto"/>
            <w:shd w:val="clear" w:color="auto" w:fill="auto"/>
            <w:noWrap/>
            <w:vAlign w:val="center"/>
          </w:tcPr>
          <w:p w:rsidR="00AB073E" w:rsidRPr="00A95E01" w:rsidRDefault="00AB073E" w:rsidP="00AB073E">
            <w:pPr>
              <w:ind w:left="360"/>
              <w:jc w:val="center"/>
              <w:rPr>
                <w:sz w:val="16"/>
                <w:szCs w:val="16"/>
              </w:rPr>
            </w:pPr>
            <w:r w:rsidRPr="00A95E01">
              <w:rPr>
                <w:sz w:val="16"/>
                <w:szCs w:val="16"/>
              </w:rPr>
              <w:t>This work</w:t>
            </w:r>
          </w:p>
        </w:tc>
        <w:tc>
          <w:tcPr>
            <w:tcW w:w="1168" w:type="dxa"/>
            <w:vAlign w:val="center"/>
          </w:tcPr>
          <w:p w:rsidR="00AB073E" w:rsidRPr="00A95E01" w:rsidRDefault="00AB073E" w:rsidP="00AB073E">
            <w:pPr>
              <w:ind w:left="360"/>
              <w:jc w:val="center"/>
              <w:rPr>
                <w:sz w:val="16"/>
                <w:szCs w:val="16"/>
              </w:rPr>
            </w:pPr>
            <w:r w:rsidRPr="00A95E01">
              <w:rPr>
                <w:sz w:val="16"/>
                <w:szCs w:val="16"/>
              </w:rPr>
              <w:t>24</w:t>
            </w:r>
          </w:p>
        </w:tc>
      </w:tr>
    </w:tbl>
    <w:p w:rsidR="00AB073E" w:rsidRPr="00A95E01" w:rsidRDefault="00AB073E" w:rsidP="006E074E">
      <w:pPr>
        <w:spacing w:line="360" w:lineRule="auto"/>
        <w:ind w:left="360"/>
        <w:jc w:val="both"/>
      </w:pPr>
      <w:r w:rsidRPr="00A95E01">
        <w:rPr>
          <w:b/>
        </w:rPr>
        <w:t>Table 2</w:t>
      </w:r>
      <w:r w:rsidRPr="00A95E01">
        <w:t xml:space="preserve"> Comparison of Pu</w:t>
      </w:r>
      <w:r w:rsidR="0001333A" w:rsidRPr="00A95E01">
        <w:t>(IV)</w:t>
      </w:r>
      <w:r w:rsidRPr="00A95E01">
        <w:t>/Pu</w:t>
      </w:r>
      <w:r w:rsidR="0001333A" w:rsidRPr="00A95E01">
        <w:t>(III)</w:t>
      </w:r>
      <w:r w:rsidRPr="00A95E01">
        <w:t xml:space="preserve"> formal potentials in aqueous nitric acid solutions (with concentrations close to 1 mol/L, in mV/SCE) from literature with the value calculated during the present study</w:t>
      </w:r>
    </w:p>
    <w:p w:rsidR="00AB073E" w:rsidRPr="00A95E01" w:rsidRDefault="00AB073E" w:rsidP="000D7B2E">
      <w:pPr>
        <w:pStyle w:val="JRNCBody"/>
        <w:rPr>
          <w:lang w:val="en-US"/>
        </w:rPr>
      </w:pPr>
      <w:r w:rsidRPr="00A95E01">
        <w:rPr>
          <w:sz w:val="28"/>
          <w:szCs w:val="24"/>
          <w:lang w:val="en-US"/>
        </w:rPr>
        <w:t>Blank repeatability</w:t>
      </w:r>
    </w:p>
    <w:p w:rsidR="00AB073E" w:rsidRPr="00A95E01" w:rsidRDefault="00AB073E" w:rsidP="009322C4">
      <w:pPr>
        <w:spacing w:line="360" w:lineRule="auto"/>
        <w:jc w:val="both"/>
      </w:pPr>
      <w:r w:rsidRPr="00A95E01">
        <w:t xml:space="preserve">As discussed previously, the quantity of electricity of the blank, </w:t>
      </w:r>
      <w:r w:rsidRPr="00A95E01">
        <w:rPr>
          <w:i/>
        </w:rPr>
        <w:t>Q</w:t>
      </w:r>
      <w:r w:rsidRPr="00A95E01">
        <w:rPr>
          <w:i/>
          <w:vertAlign w:val="subscript"/>
        </w:rPr>
        <w:t>b</w:t>
      </w:r>
      <w:r w:rsidRPr="00A95E01">
        <w:t xml:space="preserve">, needs to be taken into account as a corrective factor during analysis. In order to establish the precision of </w:t>
      </w:r>
      <w:r w:rsidRPr="00A95E01">
        <w:rPr>
          <w:i/>
        </w:rPr>
        <w:t>Q</w:t>
      </w:r>
      <w:r w:rsidRPr="00A95E01">
        <w:rPr>
          <w:i/>
          <w:vertAlign w:val="subscript"/>
        </w:rPr>
        <w:t>b</w:t>
      </w:r>
      <w:r w:rsidRPr="00A95E01">
        <w:t xml:space="preserve"> in repeatability conditions, a series of 8 consecutive measurements was recorded for a single experiment (LF01). The mean value of </w:t>
      </w:r>
      <w:r w:rsidRPr="00A95E01">
        <w:rPr>
          <w:i/>
        </w:rPr>
        <w:t>Q</w:t>
      </w:r>
      <w:r w:rsidRPr="00A95E01">
        <w:rPr>
          <w:i/>
          <w:vertAlign w:val="subscript"/>
        </w:rPr>
        <w:t xml:space="preserve">b </w:t>
      </w:r>
      <w:r w:rsidRPr="00A95E01">
        <w:t>(12.2 mC) and its standard uncertainty (</w:t>
      </w:r>
      <w:r w:rsidRPr="00A95E01">
        <w:rPr>
          <w:i/>
        </w:rPr>
        <w:t>u(Q</w:t>
      </w:r>
      <w:r w:rsidRPr="00A95E01">
        <w:rPr>
          <w:i/>
          <w:vertAlign w:val="subscript"/>
        </w:rPr>
        <w:t>b</w:t>
      </w:r>
      <w:r w:rsidRPr="00A95E01">
        <w:rPr>
          <w:i/>
        </w:rPr>
        <w:t>)</w:t>
      </w:r>
      <w:r w:rsidRPr="00A95E01">
        <w:t xml:space="preserve"> = 0.7 mC) over the 8 measurements are reported in Table 3 in addition to the specific details for each measurement.</w:t>
      </w:r>
    </w:p>
    <w:tbl>
      <w:tblPr>
        <w:tblW w:w="8793" w:type="dxa"/>
        <w:jc w:val="center"/>
        <w:tblLayout w:type="fixed"/>
        <w:tblCellMar>
          <w:left w:w="70" w:type="dxa"/>
          <w:right w:w="70" w:type="dxa"/>
        </w:tblCellMar>
        <w:tblLook w:val="04A0" w:firstRow="1" w:lastRow="0" w:firstColumn="1" w:lastColumn="0" w:noHBand="0" w:noVBand="1"/>
      </w:tblPr>
      <w:tblGrid>
        <w:gridCol w:w="1271"/>
        <w:gridCol w:w="752"/>
        <w:gridCol w:w="752"/>
        <w:gridCol w:w="752"/>
        <w:gridCol w:w="752"/>
        <w:gridCol w:w="753"/>
        <w:gridCol w:w="752"/>
        <w:gridCol w:w="752"/>
        <w:gridCol w:w="752"/>
        <w:gridCol w:w="752"/>
        <w:gridCol w:w="753"/>
      </w:tblGrid>
      <w:tr w:rsidR="00AB073E" w:rsidRPr="00A95E01" w:rsidTr="009322C4">
        <w:trPr>
          <w:trHeight w:val="517"/>
          <w:jc w:val="center"/>
        </w:trPr>
        <w:tc>
          <w:tcPr>
            <w:tcW w:w="1271" w:type="dxa"/>
            <w:tcBorders>
              <w:top w:val="single" w:sz="4" w:space="0" w:color="auto"/>
              <w:bottom w:val="single" w:sz="4" w:space="0" w:color="auto"/>
            </w:tcBorders>
            <w:vAlign w:val="center"/>
          </w:tcPr>
          <w:p w:rsidR="00AB073E" w:rsidRPr="00A95E01" w:rsidRDefault="00AB073E" w:rsidP="009322C4">
            <w:pPr>
              <w:ind w:left="69"/>
              <w:jc w:val="center"/>
            </w:pPr>
            <w:r w:rsidRPr="00A95E01">
              <w:t>replicates</w:t>
            </w:r>
          </w:p>
        </w:tc>
        <w:tc>
          <w:tcPr>
            <w:tcW w:w="752" w:type="dxa"/>
            <w:tcBorders>
              <w:top w:val="single" w:sz="4" w:space="0" w:color="auto"/>
              <w:left w:val="nil"/>
              <w:bottom w:val="single" w:sz="4" w:space="0" w:color="auto"/>
              <w:right w:val="nil"/>
            </w:tcBorders>
            <w:shd w:val="clear" w:color="auto" w:fill="auto"/>
            <w:noWrap/>
            <w:vAlign w:val="center"/>
          </w:tcPr>
          <w:p w:rsidR="00AB073E" w:rsidRPr="00A95E01" w:rsidRDefault="00AB073E" w:rsidP="009322C4">
            <w:pPr>
              <w:jc w:val="center"/>
            </w:pPr>
            <w:r w:rsidRPr="00A95E01">
              <w:t>1</w:t>
            </w:r>
          </w:p>
        </w:tc>
        <w:tc>
          <w:tcPr>
            <w:tcW w:w="752" w:type="dxa"/>
            <w:tcBorders>
              <w:top w:val="single" w:sz="4" w:space="0" w:color="auto"/>
              <w:left w:val="nil"/>
              <w:bottom w:val="single" w:sz="4" w:space="0" w:color="auto"/>
              <w:right w:val="nil"/>
            </w:tcBorders>
            <w:shd w:val="clear" w:color="auto" w:fill="auto"/>
            <w:noWrap/>
            <w:vAlign w:val="center"/>
          </w:tcPr>
          <w:p w:rsidR="00AB073E" w:rsidRPr="00A95E01" w:rsidRDefault="00AB073E" w:rsidP="009322C4">
            <w:pPr>
              <w:jc w:val="center"/>
            </w:pPr>
            <w:r w:rsidRPr="00A95E01">
              <w:t>2</w:t>
            </w:r>
          </w:p>
        </w:tc>
        <w:tc>
          <w:tcPr>
            <w:tcW w:w="752" w:type="dxa"/>
            <w:tcBorders>
              <w:top w:val="single" w:sz="4" w:space="0" w:color="auto"/>
              <w:left w:val="nil"/>
              <w:bottom w:val="single" w:sz="4" w:space="0" w:color="auto"/>
              <w:right w:val="nil"/>
            </w:tcBorders>
            <w:shd w:val="clear" w:color="auto" w:fill="auto"/>
            <w:noWrap/>
            <w:vAlign w:val="center"/>
          </w:tcPr>
          <w:p w:rsidR="00AB073E" w:rsidRPr="00A95E01" w:rsidRDefault="00AB073E" w:rsidP="009322C4">
            <w:pPr>
              <w:jc w:val="center"/>
            </w:pPr>
            <w:r w:rsidRPr="00A95E01">
              <w:t>3</w:t>
            </w:r>
          </w:p>
        </w:tc>
        <w:tc>
          <w:tcPr>
            <w:tcW w:w="752" w:type="dxa"/>
            <w:tcBorders>
              <w:top w:val="single" w:sz="4" w:space="0" w:color="auto"/>
              <w:left w:val="nil"/>
              <w:bottom w:val="single" w:sz="4" w:space="0" w:color="auto"/>
              <w:right w:val="nil"/>
            </w:tcBorders>
            <w:shd w:val="clear" w:color="auto" w:fill="auto"/>
            <w:noWrap/>
            <w:vAlign w:val="center"/>
          </w:tcPr>
          <w:p w:rsidR="00AB073E" w:rsidRPr="00A95E01" w:rsidRDefault="00AB073E" w:rsidP="009322C4">
            <w:pPr>
              <w:jc w:val="center"/>
            </w:pPr>
            <w:r w:rsidRPr="00A95E01">
              <w:t>4</w:t>
            </w:r>
          </w:p>
        </w:tc>
        <w:tc>
          <w:tcPr>
            <w:tcW w:w="753" w:type="dxa"/>
            <w:tcBorders>
              <w:top w:val="single" w:sz="4" w:space="0" w:color="auto"/>
              <w:left w:val="nil"/>
              <w:bottom w:val="single" w:sz="4" w:space="0" w:color="auto"/>
              <w:right w:val="nil"/>
            </w:tcBorders>
            <w:shd w:val="clear" w:color="auto" w:fill="auto"/>
            <w:noWrap/>
            <w:vAlign w:val="center"/>
          </w:tcPr>
          <w:p w:rsidR="00AB073E" w:rsidRPr="00A95E01" w:rsidRDefault="00AB073E" w:rsidP="009322C4">
            <w:pPr>
              <w:jc w:val="center"/>
            </w:pPr>
            <w:r w:rsidRPr="00A95E01">
              <w:t>5</w:t>
            </w:r>
          </w:p>
        </w:tc>
        <w:tc>
          <w:tcPr>
            <w:tcW w:w="752" w:type="dxa"/>
            <w:tcBorders>
              <w:top w:val="single" w:sz="4" w:space="0" w:color="auto"/>
              <w:left w:val="nil"/>
              <w:bottom w:val="single" w:sz="4" w:space="0" w:color="auto"/>
              <w:right w:val="nil"/>
            </w:tcBorders>
            <w:shd w:val="clear" w:color="auto" w:fill="auto"/>
            <w:noWrap/>
            <w:vAlign w:val="center"/>
          </w:tcPr>
          <w:p w:rsidR="00AB073E" w:rsidRPr="00A95E01" w:rsidRDefault="00AB073E" w:rsidP="009322C4">
            <w:pPr>
              <w:jc w:val="center"/>
            </w:pPr>
            <w:r w:rsidRPr="00A95E01">
              <w:t>6</w:t>
            </w:r>
          </w:p>
        </w:tc>
        <w:tc>
          <w:tcPr>
            <w:tcW w:w="752" w:type="dxa"/>
            <w:tcBorders>
              <w:top w:val="single" w:sz="4" w:space="0" w:color="auto"/>
              <w:left w:val="nil"/>
              <w:bottom w:val="single" w:sz="4" w:space="0" w:color="auto"/>
              <w:right w:val="nil"/>
            </w:tcBorders>
            <w:shd w:val="clear" w:color="auto" w:fill="auto"/>
            <w:noWrap/>
            <w:vAlign w:val="center"/>
          </w:tcPr>
          <w:p w:rsidR="00AB073E" w:rsidRPr="00A95E01" w:rsidRDefault="00AB073E" w:rsidP="009322C4">
            <w:pPr>
              <w:jc w:val="center"/>
            </w:pPr>
            <w:r w:rsidRPr="00A95E01">
              <w:t>7</w:t>
            </w:r>
          </w:p>
        </w:tc>
        <w:tc>
          <w:tcPr>
            <w:tcW w:w="752" w:type="dxa"/>
            <w:tcBorders>
              <w:top w:val="single" w:sz="4" w:space="0" w:color="auto"/>
              <w:left w:val="nil"/>
              <w:bottom w:val="single" w:sz="4" w:space="0" w:color="auto"/>
            </w:tcBorders>
            <w:shd w:val="clear" w:color="auto" w:fill="auto"/>
            <w:noWrap/>
            <w:vAlign w:val="center"/>
          </w:tcPr>
          <w:p w:rsidR="00AB073E" w:rsidRPr="00A95E01" w:rsidRDefault="00AB073E" w:rsidP="009322C4">
            <w:pPr>
              <w:jc w:val="center"/>
            </w:pPr>
            <w:r w:rsidRPr="00A95E01">
              <w:t>8</w:t>
            </w:r>
          </w:p>
        </w:tc>
        <w:tc>
          <w:tcPr>
            <w:tcW w:w="752" w:type="dxa"/>
            <w:tcBorders>
              <w:top w:val="single" w:sz="4" w:space="0" w:color="auto"/>
              <w:bottom w:val="single" w:sz="4" w:space="0" w:color="auto"/>
              <w:right w:val="nil"/>
            </w:tcBorders>
            <w:shd w:val="clear" w:color="auto" w:fill="auto"/>
            <w:noWrap/>
            <w:vAlign w:val="center"/>
          </w:tcPr>
          <w:p w:rsidR="00AB073E" w:rsidRPr="00A95E01" w:rsidRDefault="00AB073E" w:rsidP="009322C4">
            <w:pPr>
              <w:ind w:left="68"/>
              <w:jc w:val="center"/>
              <w:rPr>
                <w:sz w:val="16"/>
                <w:szCs w:val="16"/>
              </w:rPr>
            </w:pPr>
            <w:r w:rsidRPr="00A95E01">
              <w:rPr>
                <w:sz w:val="16"/>
                <w:szCs w:val="16"/>
              </w:rPr>
              <w:t>Mean value</w:t>
            </w:r>
          </w:p>
        </w:tc>
        <w:tc>
          <w:tcPr>
            <w:tcW w:w="753" w:type="dxa"/>
            <w:tcBorders>
              <w:top w:val="single" w:sz="4" w:space="0" w:color="auto"/>
              <w:left w:val="nil"/>
              <w:bottom w:val="single" w:sz="4" w:space="0" w:color="auto"/>
            </w:tcBorders>
            <w:shd w:val="clear" w:color="auto" w:fill="auto"/>
            <w:noWrap/>
            <w:vAlign w:val="center"/>
          </w:tcPr>
          <w:p w:rsidR="00AB073E" w:rsidRPr="00A95E01" w:rsidRDefault="00AB073E" w:rsidP="009322C4">
            <w:pPr>
              <w:jc w:val="center"/>
              <w:rPr>
                <w:sz w:val="16"/>
                <w:szCs w:val="16"/>
              </w:rPr>
            </w:pPr>
            <w:r w:rsidRPr="00A95E01">
              <w:rPr>
                <w:sz w:val="16"/>
                <w:szCs w:val="16"/>
              </w:rPr>
              <w:t>u(Q</w:t>
            </w:r>
            <w:r w:rsidRPr="00A95E01">
              <w:rPr>
                <w:sz w:val="16"/>
                <w:szCs w:val="16"/>
                <w:vertAlign w:val="subscript"/>
              </w:rPr>
              <w:t>b</w:t>
            </w:r>
            <w:r w:rsidRPr="00A95E01">
              <w:rPr>
                <w:sz w:val="16"/>
                <w:szCs w:val="16"/>
              </w:rPr>
              <w:t>)</w:t>
            </w:r>
          </w:p>
        </w:tc>
      </w:tr>
      <w:tr w:rsidR="00AB073E" w:rsidRPr="00A95E01" w:rsidTr="009322C4">
        <w:trPr>
          <w:trHeight w:val="300"/>
          <w:jc w:val="center"/>
        </w:trPr>
        <w:tc>
          <w:tcPr>
            <w:tcW w:w="1271" w:type="dxa"/>
            <w:tcBorders>
              <w:top w:val="single" w:sz="4" w:space="0" w:color="auto"/>
              <w:bottom w:val="nil"/>
            </w:tcBorders>
            <w:vAlign w:val="center"/>
          </w:tcPr>
          <w:p w:rsidR="00AB073E" w:rsidRPr="00A95E01" w:rsidRDefault="00AB073E" w:rsidP="009322C4">
            <w:pPr>
              <w:ind w:left="360"/>
              <w:jc w:val="center"/>
            </w:pPr>
            <w:r w:rsidRPr="00A95E01">
              <w:t>Q</w:t>
            </w:r>
            <w:r w:rsidRPr="00A95E01">
              <w:rPr>
                <w:vertAlign w:val="subscript"/>
              </w:rPr>
              <w:t>1</w:t>
            </w:r>
            <w:r w:rsidRPr="00A95E01">
              <w:t xml:space="preserve"> (mC)</w:t>
            </w:r>
          </w:p>
        </w:tc>
        <w:tc>
          <w:tcPr>
            <w:tcW w:w="752" w:type="dxa"/>
            <w:tcBorders>
              <w:top w:val="single" w:sz="4" w:space="0" w:color="auto"/>
              <w:left w:val="nil"/>
              <w:bottom w:val="nil"/>
              <w:right w:val="nil"/>
            </w:tcBorders>
            <w:shd w:val="clear" w:color="auto" w:fill="auto"/>
            <w:noWrap/>
            <w:vAlign w:val="center"/>
            <w:hideMark/>
          </w:tcPr>
          <w:p w:rsidR="00AB073E" w:rsidRPr="00A95E01" w:rsidRDefault="00AB073E" w:rsidP="009322C4">
            <w:pPr>
              <w:jc w:val="center"/>
            </w:pPr>
            <w:r w:rsidRPr="00A95E01">
              <w:t>12.0</w:t>
            </w:r>
          </w:p>
        </w:tc>
        <w:tc>
          <w:tcPr>
            <w:tcW w:w="752" w:type="dxa"/>
            <w:tcBorders>
              <w:top w:val="single" w:sz="4" w:space="0" w:color="auto"/>
              <w:left w:val="nil"/>
              <w:bottom w:val="nil"/>
              <w:right w:val="nil"/>
            </w:tcBorders>
            <w:shd w:val="clear" w:color="auto" w:fill="auto"/>
            <w:noWrap/>
            <w:vAlign w:val="center"/>
            <w:hideMark/>
          </w:tcPr>
          <w:p w:rsidR="00AB073E" w:rsidRPr="00A95E01" w:rsidRDefault="00AB073E" w:rsidP="009322C4">
            <w:pPr>
              <w:jc w:val="center"/>
            </w:pPr>
            <w:r w:rsidRPr="00A95E01">
              <w:t>13.7</w:t>
            </w:r>
          </w:p>
        </w:tc>
        <w:tc>
          <w:tcPr>
            <w:tcW w:w="752" w:type="dxa"/>
            <w:tcBorders>
              <w:top w:val="single" w:sz="4" w:space="0" w:color="auto"/>
              <w:left w:val="nil"/>
              <w:bottom w:val="nil"/>
              <w:right w:val="nil"/>
            </w:tcBorders>
            <w:shd w:val="clear" w:color="auto" w:fill="auto"/>
            <w:noWrap/>
            <w:vAlign w:val="center"/>
            <w:hideMark/>
          </w:tcPr>
          <w:p w:rsidR="00AB073E" w:rsidRPr="00A95E01" w:rsidRDefault="00AB073E" w:rsidP="009322C4">
            <w:pPr>
              <w:jc w:val="center"/>
            </w:pPr>
            <w:r w:rsidRPr="00A95E01">
              <w:t>13.2</w:t>
            </w:r>
          </w:p>
        </w:tc>
        <w:tc>
          <w:tcPr>
            <w:tcW w:w="752" w:type="dxa"/>
            <w:tcBorders>
              <w:top w:val="single" w:sz="4" w:space="0" w:color="auto"/>
              <w:left w:val="nil"/>
              <w:bottom w:val="nil"/>
              <w:right w:val="nil"/>
            </w:tcBorders>
            <w:shd w:val="clear" w:color="auto" w:fill="auto"/>
            <w:noWrap/>
            <w:vAlign w:val="center"/>
            <w:hideMark/>
          </w:tcPr>
          <w:p w:rsidR="00AB073E" w:rsidRPr="00A95E01" w:rsidRDefault="00AB073E" w:rsidP="009322C4">
            <w:pPr>
              <w:jc w:val="center"/>
            </w:pPr>
            <w:r w:rsidRPr="00A95E01">
              <w:t>13.2</w:t>
            </w:r>
          </w:p>
        </w:tc>
        <w:tc>
          <w:tcPr>
            <w:tcW w:w="753" w:type="dxa"/>
            <w:tcBorders>
              <w:top w:val="single" w:sz="4" w:space="0" w:color="auto"/>
              <w:left w:val="nil"/>
              <w:bottom w:val="nil"/>
              <w:right w:val="nil"/>
            </w:tcBorders>
            <w:shd w:val="clear" w:color="auto" w:fill="auto"/>
            <w:noWrap/>
            <w:vAlign w:val="center"/>
            <w:hideMark/>
          </w:tcPr>
          <w:p w:rsidR="00AB073E" w:rsidRPr="00A95E01" w:rsidRDefault="00AB073E" w:rsidP="009322C4">
            <w:pPr>
              <w:jc w:val="center"/>
            </w:pPr>
            <w:r w:rsidRPr="00A95E01">
              <w:t>13.1</w:t>
            </w:r>
          </w:p>
        </w:tc>
        <w:tc>
          <w:tcPr>
            <w:tcW w:w="752" w:type="dxa"/>
            <w:tcBorders>
              <w:top w:val="single" w:sz="4" w:space="0" w:color="auto"/>
              <w:left w:val="nil"/>
              <w:bottom w:val="nil"/>
              <w:right w:val="nil"/>
            </w:tcBorders>
            <w:shd w:val="clear" w:color="auto" w:fill="auto"/>
            <w:noWrap/>
            <w:vAlign w:val="center"/>
            <w:hideMark/>
          </w:tcPr>
          <w:p w:rsidR="00AB073E" w:rsidRPr="00A95E01" w:rsidRDefault="00AB073E" w:rsidP="009322C4">
            <w:pPr>
              <w:jc w:val="center"/>
            </w:pPr>
            <w:r w:rsidRPr="00A95E01">
              <w:t>13.1</w:t>
            </w:r>
          </w:p>
        </w:tc>
        <w:tc>
          <w:tcPr>
            <w:tcW w:w="752" w:type="dxa"/>
            <w:tcBorders>
              <w:top w:val="single" w:sz="4" w:space="0" w:color="auto"/>
              <w:left w:val="nil"/>
              <w:bottom w:val="nil"/>
              <w:right w:val="nil"/>
            </w:tcBorders>
            <w:shd w:val="clear" w:color="auto" w:fill="auto"/>
            <w:noWrap/>
            <w:vAlign w:val="center"/>
            <w:hideMark/>
          </w:tcPr>
          <w:p w:rsidR="00AB073E" w:rsidRPr="00A95E01" w:rsidRDefault="00AB073E" w:rsidP="009322C4">
            <w:pPr>
              <w:jc w:val="center"/>
            </w:pPr>
            <w:r w:rsidRPr="00A95E01">
              <w:t>12.9</w:t>
            </w:r>
          </w:p>
        </w:tc>
        <w:tc>
          <w:tcPr>
            <w:tcW w:w="752" w:type="dxa"/>
            <w:tcBorders>
              <w:top w:val="single" w:sz="4" w:space="0" w:color="auto"/>
              <w:left w:val="nil"/>
            </w:tcBorders>
            <w:shd w:val="clear" w:color="auto" w:fill="auto"/>
            <w:noWrap/>
            <w:vAlign w:val="center"/>
            <w:hideMark/>
          </w:tcPr>
          <w:p w:rsidR="00AB073E" w:rsidRPr="00A95E01" w:rsidRDefault="00AB073E" w:rsidP="009322C4">
            <w:pPr>
              <w:jc w:val="center"/>
            </w:pPr>
            <w:r w:rsidRPr="00A95E01">
              <w:t>12.9</w:t>
            </w:r>
          </w:p>
        </w:tc>
        <w:tc>
          <w:tcPr>
            <w:tcW w:w="752" w:type="dxa"/>
            <w:tcBorders>
              <w:top w:val="single" w:sz="4" w:space="0" w:color="auto"/>
              <w:right w:val="nil"/>
            </w:tcBorders>
            <w:shd w:val="clear" w:color="auto" w:fill="auto"/>
            <w:noWrap/>
            <w:vAlign w:val="center"/>
          </w:tcPr>
          <w:p w:rsidR="00AB073E" w:rsidRPr="00A95E01" w:rsidRDefault="00AB073E" w:rsidP="009322C4">
            <w:pPr>
              <w:ind w:left="68"/>
              <w:jc w:val="center"/>
            </w:pPr>
            <w:r w:rsidRPr="00A95E01">
              <w:t>13.01</w:t>
            </w:r>
          </w:p>
        </w:tc>
        <w:tc>
          <w:tcPr>
            <w:tcW w:w="753" w:type="dxa"/>
            <w:tcBorders>
              <w:top w:val="single" w:sz="4" w:space="0" w:color="auto"/>
              <w:left w:val="nil"/>
              <w:bottom w:val="nil"/>
            </w:tcBorders>
            <w:shd w:val="clear" w:color="auto" w:fill="auto"/>
            <w:noWrap/>
            <w:vAlign w:val="center"/>
          </w:tcPr>
          <w:p w:rsidR="00AB073E" w:rsidRPr="00A95E01" w:rsidRDefault="00AB073E" w:rsidP="009322C4">
            <w:pPr>
              <w:jc w:val="center"/>
            </w:pPr>
            <w:r w:rsidRPr="00A95E01">
              <w:t>0.45</w:t>
            </w:r>
          </w:p>
        </w:tc>
      </w:tr>
      <w:tr w:rsidR="00AB073E" w:rsidRPr="00A95E01" w:rsidTr="009322C4">
        <w:trPr>
          <w:trHeight w:val="300"/>
          <w:jc w:val="center"/>
        </w:trPr>
        <w:tc>
          <w:tcPr>
            <w:tcW w:w="1271" w:type="dxa"/>
            <w:tcBorders>
              <w:top w:val="nil"/>
              <w:bottom w:val="nil"/>
            </w:tcBorders>
            <w:vAlign w:val="center"/>
          </w:tcPr>
          <w:p w:rsidR="00AB073E" w:rsidRPr="00A95E01" w:rsidRDefault="00AB073E" w:rsidP="009322C4">
            <w:pPr>
              <w:ind w:left="360"/>
              <w:jc w:val="center"/>
            </w:pPr>
            <w:r w:rsidRPr="00A95E01">
              <w:t>i</w:t>
            </w:r>
            <w:r w:rsidRPr="00A95E01">
              <w:rPr>
                <w:vertAlign w:val="subscript"/>
              </w:rPr>
              <w:t>r1</w:t>
            </w:r>
            <w:r w:rsidRPr="00A95E01">
              <w:t xml:space="preserve"> (µA)</w:t>
            </w:r>
          </w:p>
        </w:tc>
        <w:tc>
          <w:tcPr>
            <w:tcW w:w="752" w:type="dxa"/>
            <w:tcBorders>
              <w:top w:val="nil"/>
              <w:left w:val="nil"/>
              <w:bottom w:val="nil"/>
              <w:right w:val="nil"/>
            </w:tcBorders>
            <w:shd w:val="clear" w:color="auto" w:fill="auto"/>
            <w:noWrap/>
            <w:vAlign w:val="center"/>
            <w:hideMark/>
          </w:tcPr>
          <w:p w:rsidR="00AB073E" w:rsidRPr="00A95E01" w:rsidRDefault="00AB073E" w:rsidP="009322C4">
            <w:pPr>
              <w:jc w:val="center"/>
            </w:pPr>
            <w:r w:rsidRPr="00A95E01">
              <w:t>3.32</w:t>
            </w:r>
          </w:p>
        </w:tc>
        <w:tc>
          <w:tcPr>
            <w:tcW w:w="752" w:type="dxa"/>
            <w:tcBorders>
              <w:top w:val="nil"/>
              <w:left w:val="nil"/>
              <w:bottom w:val="nil"/>
              <w:right w:val="nil"/>
            </w:tcBorders>
            <w:shd w:val="clear" w:color="auto" w:fill="auto"/>
            <w:noWrap/>
            <w:vAlign w:val="center"/>
            <w:hideMark/>
          </w:tcPr>
          <w:p w:rsidR="00AB073E" w:rsidRPr="00A95E01" w:rsidRDefault="00AB073E" w:rsidP="009322C4">
            <w:pPr>
              <w:jc w:val="center"/>
            </w:pPr>
            <w:r w:rsidRPr="00A95E01">
              <w:t>2.11</w:t>
            </w:r>
          </w:p>
        </w:tc>
        <w:tc>
          <w:tcPr>
            <w:tcW w:w="752" w:type="dxa"/>
            <w:tcBorders>
              <w:top w:val="nil"/>
              <w:left w:val="nil"/>
              <w:bottom w:val="nil"/>
              <w:right w:val="nil"/>
            </w:tcBorders>
            <w:shd w:val="clear" w:color="auto" w:fill="auto"/>
            <w:noWrap/>
            <w:vAlign w:val="center"/>
            <w:hideMark/>
          </w:tcPr>
          <w:p w:rsidR="00AB073E" w:rsidRPr="00A95E01" w:rsidRDefault="00AB073E" w:rsidP="009322C4">
            <w:pPr>
              <w:jc w:val="center"/>
            </w:pPr>
            <w:r w:rsidRPr="00A95E01">
              <w:t>1.74</w:t>
            </w:r>
          </w:p>
        </w:tc>
        <w:tc>
          <w:tcPr>
            <w:tcW w:w="752" w:type="dxa"/>
            <w:tcBorders>
              <w:top w:val="nil"/>
              <w:left w:val="nil"/>
              <w:bottom w:val="nil"/>
              <w:right w:val="nil"/>
            </w:tcBorders>
            <w:shd w:val="clear" w:color="auto" w:fill="auto"/>
            <w:noWrap/>
            <w:vAlign w:val="center"/>
            <w:hideMark/>
          </w:tcPr>
          <w:p w:rsidR="00AB073E" w:rsidRPr="00A95E01" w:rsidRDefault="00AB073E" w:rsidP="009322C4">
            <w:pPr>
              <w:jc w:val="center"/>
            </w:pPr>
            <w:r w:rsidRPr="00A95E01">
              <w:t>1.74</w:t>
            </w:r>
          </w:p>
        </w:tc>
        <w:tc>
          <w:tcPr>
            <w:tcW w:w="753" w:type="dxa"/>
            <w:tcBorders>
              <w:top w:val="nil"/>
              <w:left w:val="nil"/>
              <w:bottom w:val="nil"/>
              <w:right w:val="nil"/>
            </w:tcBorders>
            <w:shd w:val="clear" w:color="auto" w:fill="auto"/>
            <w:noWrap/>
            <w:vAlign w:val="center"/>
            <w:hideMark/>
          </w:tcPr>
          <w:p w:rsidR="00AB073E" w:rsidRPr="00A95E01" w:rsidRDefault="00AB073E" w:rsidP="009322C4">
            <w:pPr>
              <w:jc w:val="center"/>
            </w:pPr>
            <w:r w:rsidRPr="00A95E01">
              <w:t>1.40</w:t>
            </w:r>
          </w:p>
        </w:tc>
        <w:tc>
          <w:tcPr>
            <w:tcW w:w="752" w:type="dxa"/>
            <w:tcBorders>
              <w:top w:val="nil"/>
              <w:left w:val="nil"/>
              <w:bottom w:val="nil"/>
              <w:right w:val="nil"/>
            </w:tcBorders>
            <w:shd w:val="clear" w:color="auto" w:fill="auto"/>
            <w:noWrap/>
            <w:vAlign w:val="center"/>
            <w:hideMark/>
          </w:tcPr>
          <w:p w:rsidR="00AB073E" w:rsidRPr="00A95E01" w:rsidRDefault="00AB073E" w:rsidP="009322C4">
            <w:pPr>
              <w:jc w:val="center"/>
            </w:pPr>
            <w:r w:rsidRPr="00A95E01">
              <w:t>1.26</w:t>
            </w:r>
          </w:p>
        </w:tc>
        <w:tc>
          <w:tcPr>
            <w:tcW w:w="752" w:type="dxa"/>
            <w:tcBorders>
              <w:top w:val="nil"/>
              <w:left w:val="nil"/>
              <w:bottom w:val="nil"/>
              <w:right w:val="nil"/>
            </w:tcBorders>
            <w:shd w:val="clear" w:color="auto" w:fill="auto"/>
            <w:noWrap/>
            <w:vAlign w:val="center"/>
            <w:hideMark/>
          </w:tcPr>
          <w:p w:rsidR="00AB073E" w:rsidRPr="00A95E01" w:rsidRDefault="00AB073E" w:rsidP="009322C4">
            <w:pPr>
              <w:jc w:val="center"/>
            </w:pPr>
            <w:r w:rsidRPr="00A95E01">
              <w:t>1.51</w:t>
            </w:r>
          </w:p>
        </w:tc>
        <w:tc>
          <w:tcPr>
            <w:tcW w:w="752" w:type="dxa"/>
            <w:tcBorders>
              <w:left w:val="nil"/>
            </w:tcBorders>
            <w:shd w:val="clear" w:color="auto" w:fill="auto"/>
            <w:noWrap/>
            <w:vAlign w:val="center"/>
            <w:hideMark/>
          </w:tcPr>
          <w:p w:rsidR="00AB073E" w:rsidRPr="00A95E01" w:rsidRDefault="00AB073E" w:rsidP="009322C4">
            <w:pPr>
              <w:jc w:val="center"/>
            </w:pPr>
            <w:r w:rsidRPr="00A95E01">
              <w:t>0.96</w:t>
            </w:r>
          </w:p>
        </w:tc>
        <w:tc>
          <w:tcPr>
            <w:tcW w:w="752" w:type="dxa"/>
            <w:tcBorders>
              <w:right w:val="nil"/>
            </w:tcBorders>
            <w:shd w:val="clear" w:color="auto" w:fill="auto"/>
            <w:noWrap/>
            <w:vAlign w:val="center"/>
          </w:tcPr>
          <w:p w:rsidR="00AB073E" w:rsidRPr="00A95E01" w:rsidRDefault="00AB073E" w:rsidP="009322C4">
            <w:pPr>
              <w:ind w:left="68"/>
              <w:jc w:val="center"/>
            </w:pPr>
            <w:r w:rsidRPr="00A95E01">
              <w:t>1.76</w:t>
            </w:r>
          </w:p>
        </w:tc>
        <w:tc>
          <w:tcPr>
            <w:tcW w:w="753" w:type="dxa"/>
            <w:tcBorders>
              <w:top w:val="nil"/>
              <w:left w:val="nil"/>
              <w:bottom w:val="nil"/>
            </w:tcBorders>
            <w:shd w:val="clear" w:color="auto" w:fill="auto"/>
            <w:noWrap/>
            <w:vAlign w:val="center"/>
          </w:tcPr>
          <w:p w:rsidR="00AB073E" w:rsidRPr="00A95E01" w:rsidRDefault="00AB073E" w:rsidP="009322C4">
            <w:pPr>
              <w:jc w:val="center"/>
            </w:pPr>
            <w:r w:rsidRPr="00A95E01">
              <w:t>0.68</w:t>
            </w:r>
          </w:p>
        </w:tc>
      </w:tr>
      <w:tr w:rsidR="00AB073E" w:rsidRPr="00A95E01" w:rsidTr="009322C4">
        <w:trPr>
          <w:trHeight w:val="300"/>
          <w:jc w:val="center"/>
        </w:trPr>
        <w:tc>
          <w:tcPr>
            <w:tcW w:w="1271" w:type="dxa"/>
            <w:tcBorders>
              <w:top w:val="nil"/>
              <w:bottom w:val="nil"/>
            </w:tcBorders>
            <w:vAlign w:val="center"/>
          </w:tcPr>
          <w:p w:rsidR="00AB073E" w:rsidRPr="00A95E01" w:rsidRDefault="00AB073E" w:rsidP="009322C4">
            <w:pPr>
              <w:ind w:left="360"/>
              <w:jc w:val="center"/>
            </w:pPr>
            <w:r w:rsidRPr="00A95E01">
              <w:t>t</w:t>
            </w:r>
            <w:r w:rsidRPr="00A95E01">
              <w:rPr>
                <w:vertAlign w:val="subscript"/>
              </w:rPr>
              <w:t>1</w:t>
            </w:r>
            <w:r w:rsidRPr="00A95E01">
              <w:t xml:space="preserve"> (s)</w:t>
            </w:r>
          </w:p>
        </w:tc>
        <w:tc>
          <w:tcPr>
            <w:tcW w:w="752" w:type="dxa"/>
            <w:tcBorders>
              <w:top w:val="nil"/>
              <w:left w:val="nil"/>
              <w:bottom w:val="nil"/>
              <w:right w:val="nil"/>
            </w:tcBorders>
            <w:shd w:val="clear" w:color="auto" w:fill="auto"/>
            <w:noWrap/>
            <w:vAlign w:val="center"/>
            <w:hideMark/>
          </w:tcPr>
          <w:p w:rsidR="00AB073E" w:rsidRPr="00A95E01" w:rsidRDefault="00AB073E" w:rsidP="009322C4">
            <w:pPr>
              <w:jc w:val="center"/>
            </w:pPr>
            <w:r w:rsidRPr="00A95E01">
              <w:t>466</w:t>
            </w:r>
          </w:p>
        </w:tc>
        <w:tc>
          <w:tcPr>
            <w:tcW w:w="752" w:type="dxa"/>
            <w:tcBorders>
              <w:top w:val="nil"/>
              <w:left w:val="nil"/>
              <w:bottom w:val="nil"/>
              <w:right w:val="nil"/>
            </w:tcBorders>
            <w:shd w:val="clear" w:color="auto" w:fill="auto"/>
            <w:noWrap/>
            <w:vAlign w:val="center"/>
            <w:hideMark/>
          </w:tcPr>
          <w:p w:rsidR="00AB073E" w:rsidRPr="00A95E01" w:rsidRDefault="00AB073E" w:rsidP="009322C4">
            <w:pPr>
              <w:jc w:val="center"/>
            </w:pPr>
            <w:r w:rsidRPr="00A95E01">
              <w:t>432</w:t>
            </w:r>
          </w:p>
        </w:tc>
        <w:tc>
          <w:tcPr>
            <w:tcW w:w="752" w:type="dxa"/>
            <w:tcBorders>
              <w:top w:val="nil"/>
              <w:left w:val="nil"/>
              <w:bottom w:val="nil"/>
              <w:right w:val="nil"/>
            </w:tcBorders>
            <w:shd w:val="clear" w:color="auto" w:fill="auto"/>
            <w:noWrap/>
            <w:vAlign w:val="center"/>
            <w:hideMark/>
          </w:tcPr>
          <w:p w:rsidR="00AB073E" w:rsidRPr="00A95E01" w:rsidRDefault="00AB073E" w:rsidP="009322C4">
            <w:pPr>
              <w:jc w:val="center"/>
            </w:pPr>
            <w:r w:rsidRPr="00A95E01">
              <w:t>436</w:t>
            </w:r>
          </w:p>
        </w:tc>
        <w:tc>
          <w:tcPr>
            <w:tcW w:w="752" w:type="dxa"/>
            <w:tcBorders>
              <w:top w:val="nil"/>
              <w:left w:val="nil"/>
              <w:bottom w:val="nil"/>
              <w:right w:val="nil"/>
            </w:tcBorders>
            <w:shd w:val="clear" w:color="auto" w:fill="auto"/>
            <w:noWrap/>
            <w:vAlign w:val="center"/>
            <w:hideMark/>
          </w:tcPr>
          <w:p w:rsidR="00AB073E" w:rsidRPr="00A95E01" w:rsidRDefault="00AB073E" w:rsidP="009322C4">
            <w:pPr>
              <w:jc w:val="center"/>
            </w:pPr>
            <w:r w:rsidRPr="00A95E01">
              <w:t>436</w:t>
            </w:r>
          </w:p>
        </w:tc>
        <w:tc>
          <w:tcPr>
            <w:tcW w:w="753" w:type="dxa"/>
            <w:tcBorders>
              <w:top w:val="nil"/>
              <w:left w:val="nil"/>
              <w:bottom w:val="nil"/>
              <w:right w:val="nil"/>
            </w:tcBorders>
            <w:shd w:val="clear" w:color="auto" w:fill="auto"/>
            <w:noWrap/>
            <w:vAlign w:val="center"/>
            <w:hideMark/>
          </w:tcPr>
          <w:p w:rsidR="00AB073E" w:rsidRPr="00A95E01" w:rsidRDefault="00AB073E" w:rsidP="009322C4">
            <w:pPr>
              <w:jc w:val="center"/>
            </w:pPr>
            <w:r w:rsidRPr="00A95E01">
              <w:t>465</w:t>
            </w:r>
          </w:p>
        </w:tc>
        <w:tc>
          <w:tcPr>
            <w:tcW w:w="752" w:type="dxa"/>
            <w:tcBorders>
              <w:top w:val="nil"/>
              <w:left w:val="nil"/>
              <w:bottom w:val="nil"/>
              <w:right w:val="nil"/>
            </w:tcBorders>
            <w:shd w:val="clear" w:color="auto" w:fill="auto"/>
            <w:noWrap/>
            <w:vAlign w:val="center"/>
            <w:hideMark/>
          </w:tcPr>
          <w:p w:rsidR="00AB073E" w:rsidRPr="00A95E01" w:rsidRDefault="00AB073E" w:rsidP="009322C4">
            <w:pPr>
              <w:jc w:val="center"/>
            </w:pPr>
            <w:r w:rsidRPr="00A95E01">
              <w:t>393</w:t>
            </w:r>
          </w:p>
        </w:tc>
        <w:tc>
          <w:tcPr>
            <w:tcW w:w="752" w:type="dxa"/>
            <w:tcBorders>
              <w:top w:val="nil"/>
              <w:left w:val="nil"/>
              <w:bottom w:val="nil"/>
              <w:right w:val="nil"/>
            </w:tcBorders>
            <w:shd w:val="clear" w:color="auto" w:fill="auto"/>
            <w:noWrap/>
            <w:vAlign w:val="center"/>
            <w:hideMark/>
          </w:tcPr>
          <w:p w:rsidR="00AB073E" w:rsidRPr="00A95E01" w:rsidRDefault="00AB073E" w:rsidP="009322C4">
            <w:pPr>
              <w:jc w:val="center"/>
            </w:pPr>
            <w:r w:rsidRPr="00A95E01">
              <w:t>393</w:t>
            </w:r>
          </w:p>
        </w:tc>
        <w:tc>
          <w:tcPr>
            <w:tcW w:w="752" w:type="dxa"/>
            <w:tcBorders>
              <w:left w:val="nil"/>
            </w:tcBorders>
            <w:shd w:val="clear" w:color="auto" w:fill="auto"/>
            <w:noWrap/>
            <w:vAlign w:val="center"/>
            <w:hideMark/>
          </w:tcPr>
          <w:p w:rsidR="00AB073E" w:rsidRPr="00A95E01" w:rsidRDefault="00AB073E" w:rsidP="009322C4">
            <w:pPr>
              <w:jc w:val="center"/>
            </w:pPr>
            <w:r w:rsidRPr="00A95E01">
              <w:t>472</w:t>
            </w:r>
          </w:p>
        </w:tc>
        <w:tc>
          <w:tcPr>
            <w:tcW w:w="752" w:type="dxa"/>
            <w:tcBorders>
              <w:right w:val="nil"/>
            </w:tcBorders>
            <w:shd w:val="clear" w:color="auto" w:fill="auto"/>
            <w:noWrap/>
            <w:vAlign w:val="center"/>
          </w:tcPr>
          <w:p w:rsidR="00AB073E" w:rsidRPr="00A95E01" w:rsidRDefault="00AB073E" w:rsidP="009322C4">
            <w:pPr>
              <w:ind w:left="68"/>
              <w:jc w:val="center"/>
            </w:pPr>
            <w:r w:rsidRPr="00A95E01">
              <w:t>437</w:t>
            </w:r>
          </w:p>
        </w:tc>
        <w:tc>
          <w:tcPr>
            <w:tcW w:w="753" w:type="dxa"/>
            <w:tcBorders>
              <w:top w:val="nil"/>
              <w:left w:val="nil"/>
              <w:bottom w:val="nil"/>
            </w:tcBorders>
            <w:shd w:val="clear" w:color="auto" w:fill="auto"/>
            <w:noWrap/>
            <w:vAlign w:val="center"/>
          </w:tcPr>
          <w:p w:rsidR="00AB073E" w:rsidRPr="00A95E01" w:rsidRDefault="00AB073E" w:rsidP="009322C4">
            <w:pPr>
              <w:jc w:val="center"/>
            </w:pPr>
            <w:r w:rsidRPr="00A95E01">
              <w:t>29</w:t>
            </w:r>
          </w:p>
        </w:tc>
      </w:tr>
      <w:tr w:rsidR="00AB073E" w:rsidRPr="00A95E01" w:rsidTr="009322C4">
        <w:trPr>
          <w:trHeight w:val="300"/>
          <w:jc w:val="center"/>
        </w:trPr>
        <w:tc>
          <w:tcPr>
            <w:tcW w:w="1271" w:type="dxa"/>
            <w:tcBorders>
              <w:top w:val="nil"/>
              <w:bottom w:val="single" w:sz="4" w:space="0" w:color="auto"/>
            </w:tcBorders>
            <w:vAlign w:val="center"/>
          </w:tcPr>
          <w:p w:rsidR="00AB073E" w:rsidRPr="00A95E01" w:rsidRDefault="00AB073E" w:rsidP="009322C4">
            <w:pPr>
              <w:ind w:left="360"/>
              <w:jc w:val="center"/>
            </w:pPr>
            <w:r w:rsidRPr="00A95E01">
              <w:t>Q</w:t>
            </w:r>
            <w:r w:rsidRPr="00A95E01">
              <w:rPr>
                <w:vertAlign w:val="subscript"/>
              </w:rPr>
              <w:t>b</w:t>
            </w:r>
            <w:r w:rsidRPr="00A95E01">
              <w:t xml:space="preserve"> (mC)</w:t>
            </w:r>
          </w:p>
        </w:tc>
        <w:tc>
          <w:tcPr>
            <w:tcW w:w="752" w:type="dxa"/>
            <w:tcBorders>
              <w:top w:val="nil"/>
              <w:left w:val="nil"/>
              <w:bottom w:val="single" w:sz="4" w:space="0" w:color="auto"/>
              <w:right w:val="nil"/>
            </w:tcBorders>
            <w:shd w:val="clear" w:color="auto" w:fill="auto"/>
            <w:noWrap/>
            <w:vAlign w:val="center"/>
          </w:tcPr>
          <w:p w:rsidR="00AB073E" w:rsidRPr="00A95E01" w:rsidRDefault="00AB073E" w:rsidP="009322C4">
            <w:pPr>
              <w:jc w:val="center"/>
            </w:pPr>
            <w:r w:rsidRPr="00A95E01">
              <w:t>10.5</w:t>
            </w:r>
          </w:p>
        </w:tc>
        <w:tc>
          <w:tcPr>
            <w:tcW w:w="752" w:type="dxa"/>
            <w:tcBorders>
              <w:top w:val="nil"/>
              <w:left w:val="nil"/>
              <w:bottom w:val="single" w:sz="4" w:space="0" w:color="auto"/>
              <w:right w:val="nil"/>
            </w:tcBorders>
            <w:shd w:val="clear" w:color="auto" w:fill="auto"/>
            <w:noWrap/>
            <w:vAlign w:val="center"/>
          </w:tcPr>
          <w:p w:rsidR="00AB073E" w:rsidRPr="00A95E01" w:rsidRDefault="00AB073E" w:rsidP="009322C4">
            <w:pPr>
              <w:jc w:val="center"/>
            </w:pPr>
            <w:r w:rsidRPr="00A95E01">
              <w:t>12.8</w:t>
            </w:r>
          </w:p>
        </w:tc>
        <w:tc>
          <w:tcPr>
            <w:tcW w:w="752" w:type="dxa"/>
            <w:tcBorders>
              <w:top w:val="nil"/>
              <w:left w:val="nil"/>
              <w:bottom w:val="single" w:sz="4" w:space="0" w:color="auto"/>
              <w:right w:val="nil"/>
            </w:tcBorders>
            <w:shd w:val="clear" w:color="auto" w:fill="auto"/>
            <w:noWrap/>
            <w:vAlign w:val="center"/>
          </w:tcPr>
          <w:p w:rsidR="00AB073E" w:rsidRPr="00A95E01" w:rsidRDefault="00AB073E" w:rsidP="009322C4">
            <w:pPr>
              <w:jc w:val="center"/>
            </w:pPr>
            <w:r w:rsidRPr="00A95E01">
              <w:t>12.4</w:t>
            </w:r>
          </w:p>
        </w:tc>
        <w:tc>
          <w:tcPr>
            <w:tcW w:w="752" w:type="dxa"/>
            <w:tcBorders>
              <w:top w:val="nil"/>
              <w:left w:val="nil"/>
              <w:bottom w:val="single" w:sz="4" w:space="0" w:color="auto"/>
              <w:right w:val="nil"/>
            </w:tcBorders>
            <w:shd w:val="clear" w:color="auto" w:fill="auto"/>
            <w:noWrap/>
            <w:vAlign w:val="center"/>
          </w:tcPr>
          <w:p w:rsidR="00AB073E" w:rsidRPr="00A95E01" w:rsidRDefault="00AB073E" w:rsidP="009322C4">
            <w:pPr>
              <w:jc w:val="center"/>
            </w:pPr>
            <w:r w:rsidRPr="00A95E01">
              <w:t>12.4</w:t>
            </w:r>
          </w:p>
        </w:tc>
        <w:tc>
          <w:tcPr>
            <w:tcW w:w="753" w:type="dxa"/>
            <w:tcBorders>
              <w:top w:val="nil"/>
              <w:left w:val="nil"/>
              <w:bottom w:val="single" w:sz="4" w:space="0" w:color="auto"/>
              <w:right w:val="nil"/>
            </w:tcBorders>
            <w:shd w:val="clear" w:color="auto" w:fill="auto"/>
            <w:noWrap/>
            <w:vAlign w:val="center"/>
          </w:tcPr>
          <w:p w:rsidR="00AB073E" w:rsidRPr="00A95E01" w:rsidRDefault="00AB073E" w:rsidP="009322C4">
            <w:pPr>
              <w:jc w:val="center"/>
            </w:pPr>
            <w:r w:rsidRPr="00A95E01">
              <w:t>12.5</w:t>
            </w:r>
          </w:p>
        </w:tc>
        <w:tc>
          <w:tcPr>
            <w:tcW w:w="752" w:type="dxa"/>
            <w:tcBorders>
              <w:top w:val="nil"/>
              <w:left w:val="nil"/>
              <w:bottom w:val="single" w:sz="4" w:space="0" w:color="auto"/>
              <w:right w:val="nil"/>
            </w:tcBorders>
            <w:shd w:val="clear" w:color="auto" w:fill="auto"/>
            <w:noWrap/>
            <w:vAlign w:val="center"/>
          </w:tcPr>
          <w:p w:rsidR="00AB073E" w:rsidRPr="00A95E01" w:rsidRDefault="00AB073E" w:rsidP="009322C4">
            <w:pPr>
              <w:jc w:val="center"/>
            </w:pPr>
            <w:r w:rsidRPr="00A95E01">
              <w:t>12.6</w:t>
            </w:r>
          </w:p>
        </w:tc>
        <w:tc>
          <w:tcPr>
            <w:tcW w:w="752" w:type="dxa"/>
            <w:tcBorders>
              <w:top w:val="nil"/>
              <w:left w:val="nil"/>
              <w:bottom w:val="single" w:sz="4" w:space="0" w:color="auto"/>
              <w:right w:val="nil"/>
            </w:tcBorders>
            <w:shd w:val="clear" w:color="auto" w:fill="auto"/>
            <w:noWrap/>
            <w:vAlign w:val="center"/>
          </w:tcPr>
          <w:p w:rsidR="00AB073E" w:rsidRPr="00A95E01" w:rsidRDefault="00AB073E" w:rsidP="009322C4">
            <w:pPr>
              <w:jc w:val="center"/>
            </w:pPr>
            <w:r w:rsidRPr="00A95E01">
              <w:t>12.3</w:t>
            </w:r>
          </w:p>
        </w:tc>
        <w:tc>
          <w:tcPr>
            <w:tcW w:w="752" w:type="dxa"/>
            <w:tcBorders>
              <w:left w:val="nil"/>
              <w:bottom w:val="single" w:sz="4" w:space="0" w:color="auto"/>
            </w:tcBorders>
            <w:shd w:val="clear" w:color="auto" w:fill="auto"/>
            <w:noWrap/>
            <w:vAlign w:val="center"/>
          </w:tcPr>
          <w:p w:rsidR="00AB073E" w:rsidRPr="00A95E01" w:rsidRDefault="00AB073E" w:rsidP="009322C4">
            <w:pPr>
              <w:jc w:val="center"/>
            </w:pPr>
            <w:r w:rsidRPr="00A95E01">
              <w:t>12.4</w:t>
            </w:r>
          </w:p>
        </w:tc>
        <w:tc>
          <w:tcPr>
            <w:tcW w:w="752" w:type="dxa"/>
            <w:tcBorders>
              <w:bottom w:val="single" w:sz="4" w:space="0" w:color="auto"/>
              <w:right w:val="nil"/>
            </w:tcBorders>
            <w:shd w:val="clear" w:color="auto" w:fill="auto"/>
            <w:noWrap/>
            <w:vAlign w:val="center"/>
          </w:tcPr>
          <w:p w:rsidR="00AB073E" w:rsidRPr="00A95E01" w:rsidRDefault="00AB073E" w:rsidP="009322C4">
            <w:pPr>
              <w:ind w:left="68"/>
              <w:jc w:val="center"/>
            </w:pPr>
            <w:r w:rsidRPr="00A95E01">
              <w:t>12.24</w:t>
            </w:r>
          </w:p>
        </w:tc>
        <w:tc>
          <w:tcPr>
            <w:tcW w:w="753" w:type="dxa"/>
            <w:tcBorders>
              <w:top w:val="nil"/>
              <w:left w:val="nil"/>
              <w:bottom w:val="single" w:sz="4" w:space="0" w:color="auto"/>
            </w:tcBorders>
            <w:shd w:val="clear" w:color="auto" w:fill="auto"/>
            <w:noWrap/>
            <w:vAlign w:val="center"/>
          </w:tcPr>
          <w:p w:rsidR="00AB073E" w:rsidRPr="00A95E01" w:rsidRDefault="00AB073E" w:rsidP="009322C4">
            <w:pPr>
              <w:jc w:val="center"/>
            </w:pPr>
            <w:r w:rsidRPr="00A95E01">
              <w:t>0.69</w:t>
            </w:r>
          </w:p>
        </w:tc>
      </w:tr>
    </w:tbl>
    <w:p w:rsidR="00AB073E" w:rsidRPr="00A95E01" w:rsidRDefault="00AB073E" w:rsidP="009322C4">
      <w:pPr>
        <w:spacing w:line="360" w:lineRule="auto"/>
        <w:ind w:left="360"/>
        <w:jc w:val="center"/>
      </w:pPr>
      <w:r w:rsidRPr="00A95E01">
        <w:rPr>
          <w:b/>
        </w:rPr>
        <w:t>Table 3</w:t>
      </w:r>
      <w:r w:rsidR="009322C4" w:rsidRPr="00A95E01">
        <w:t xml:space="preserve"> </w:t>
      </w:r>
      <w:r w:rsidRPr="00A95E01">
        <w:t xml:space="preserve">Variations in </w:t>
      </w:r>
      <w:r w:rsidRPr="00A95E01">
        <w:rPr>
          <w:i/>
        </w:rPr>
        <w:t>Q</w:t>
      </w:r>
      <w:r w:rsidRPr="00A95E01">
        <w:rPr>
          <w:i/>
          <w:vertAlign w:val="subscript"/>
        </w:rPr>
        <w:t>b</w:t>
      </w:r>
      <w:r w:rsidRPr="00A95E01">
        <w:t xml:space="preserve"> over a series of consecutive measurements</w:t>
      </w:r>
    </w:p>
    <w:p w:rsidR="00AB073E" w:rsidRPr="00A95E01" w:rsidRDefault="00AB073E" w:rsidP="009322C4">
      <w:pPr>
        <w:spacing w:line="360" w:lineRule="auto"/>
        <w:jc w:val="both"/>
      </w:pPr>
      <w:r w:rsidRPr="00A95E01">
        <w:t>It is important to note, at this point, that the blank determination and the control of its variability are particularly important during analyses. Indeed, a variation of 1 mC, for instance, is representative of 2.5 µg Pu and corresponds to 2.5/6000 = 0.04% of the total signal recorded during an analysis.</w:t>
      </w:r>
    </w:p>
    <w:p w:rsidR="00AB073E" w:rsidRPr="00A95E01" w:rsidRDefault="00AB073E" w:rsidP="000D7B2E">
      <w:pPr>
        <w:pStyle w:val="JRNCBody"/>
        <w:rPr>
          <w:lang w:val="en-US"/>
        </w:rPr>
      </w:pPr>
      <w:r w:rsidRPr="00A95E01">
        <w:rPr>
          <w:sz w:val="28"/>
          <w:szCs w:val="24"/>
          <w:lang w:val="en-US"/>
        </w:rPr>
        <w:t>Analysis of pure plutonium nitrate solutions</w:t>
      </w:r>
    </w:p>
    <w:p w:rsidR="00AB073E" w:rsidRPr="00A95E01" w:rsidRDefault="00AB073E" w:rsidP="009322C4">
      <w:pPr>
        <w:spacing w:line="360" w:lineRule="auto"/>
        <w:jc w:val="both"/>
      </w:pPr>
      <w:r w:rsidRPr="00A95E01">
        <w:t xml:space="preserve">Figure 3 shows the evolution of current in the coulometric cell in relation to time during the second phase of the Pu analysis (the oxidation of </w:t>
      </w:r>
      <w:r w:rsidR="009A274C" w:rsidRPr="00A95E01">
        <w:t>Pu(III) to Pu(IV)</w:t>
      </w:r>
      <w:r w:rsidRPr="00A95E01">
        <w:t>). The recorded current can be seen to decrease exponentially in relation to time, consistently with the typical current response at a working electrode to a potential pulse for a transport regime limited by convective diffusion</w:t>
      </w:r>
      <w:r w:rsidR="00B97CA3">
        <w:t xml:space="preserve"> </w:t>
      </w:r>
      <w:r w:rsidR="00B97CA3" w:rsidRPr="00B97CA3">
        <w:t>[20]</w:t>
      </w:r>
      <w:r w:rsidRPr="00A95E01">
        <w:t>.</w:t>
      </w:r>
    </w:p>
    <w:p w:rsidR="00AB073E" w:rsidRPr="00A95E01" w:rsidRDefault="00AB073E" w:rsidP="009322C4">
      <w:pPr>
        <w:pStyle w:val="Lgende"/>
        <w:spacing w:line="360" w:lineRule="auto"/>
        <w:jc w:val="center"/>
        <w:rPr>
          <w:i w:val="0"/>
        </w:rPr>
      </w:pPr>
      <w:r w:rsidRPr="00A95E01">
        <w:rPr>
          <w:noProof/>
          <w:lang w:val="fr-FR" w:eastAsia="fr-FR"/>
        </w:rPr>
        <w:lastRenderedPageBreak/>
        <w:drawing>
          <wp:inline distT="0" distB="0" distL="0" distR="0" wp14:anchorId="7890634A" wp14:editId="563E0A0A">
            <wp:extent cx="4008366" cy="211856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4196" cy="2126932"/>
                    </a:xfrm>
                    <a:prstGeom prst="rect">
                      <a:avLst/>
                    </a:prstGeom>
                    <a:noFill/>
                    <a:ln>
                      <a:noFill/>
                    </a:ln>
                  </pic:spPr>
                </pic:pic>
              </a:graphicData>
            </a:graphic>
          </wp:inline>
        </w:drawing>
      </w:r>
    </w:p>
    <w:p w:rsidR="00AB073E" w:rsidRPr="00A95E01" w:rsidRDefault="00AB073E" w:rsidP="009322C4">
      <w:pPr>
        <w:spacing w:line="360" w:lineRule="auto"/>
        <w:jc w:val="center"/>
      </w:pPr>
      <w:r w:rsidRPr="00A95E01">
        <w:rPr>
          <w:b/>
        </w:rPr>
        <w:t>Fig</w:t>
      </w:r>
      <w:r w:rsidR="009322C4" w:rsidRPr="00A95E01">
        <w:rPr>
          <w:b/>
        </w:rPr>
        <w:t>.</w:t>
      </w:r>
      <w:r w:rsidRPr="00A95E01">
        <w:rPr>
          <w:b/>
        </w:rPr>
        <w:t xml:space="preserve"> 3</w:t>
      </w:r>
      <w:r w:rsidRPr="00A95E01">
        <w:t xml:space="preserve"> Plot of the current versus time for the oxidation of a Pu</w:t>
      </w:r>
      <w:r w:rsidR="009E490A" w:rsidRPr="00A95E01">
        <w:t>(III)</w:t>
      </w:r>
      <w:r w:rsidRPr="00A95E01">
        <w:t xml:space="preserve"> solution at a gold electrode during Experiment LF06. The Solid line represents the simulated data, whilst the crosses are the experimentally observed values. The insert shows the logarithmic plot of current versus time for </w:t>
      </w:r>
      <w:r w:rsidR="009322C4" w:rsidRPr="00A95E01">
        <w:t>the same data</w:t>
      </w:r>
    </w:p>
    <w:p w:rsidR="00AB073E" w:rsidRPr="00A95E01" w:rsidRDefault="00AB073E" w:rsidP="009322C4">
      <w:pPr>
        <w:spacing w:line="360" w:lineRule="auto"/>
        <w:jc w:val="both"/>
      </w:pPr>
      <w:r w:rsidRPr="00A95E01">
        <w:t>In reactions limited by convective diffusion, the evolution of current can be expressed as shown in Eq</w:t>
      </w:r>
      <w:r w:rsidR="009322C4" w:rsidRPr="00A95E01">
        <w:t>.</w:t>
      </w:r>
      <w:r w:rsidRPr="00A95E01">
        <w:t> </w:t>
      </w:r>
      <w:r w:rsidR="009322C4" w:rsidRPr="00A95E01">
        <w:t>(</w:t>
      </w:r>
      <w:r w:rsidRPr="00A95E01">
        <w:t>8</w:t>
      </w:r>
      <w:r w:rsidR="00B97CA3">
        <w:t xml:space="preserve">) </w:t>
      </w:r>
      <w:r w:rsidR="00B97CA3" w:rsidRPr="00B97CA3">
        <w:t>[21]</w:t>
      </w:r>
      <w:r w:rsidRPr="00A95E01">
        <w:t xml:space="preserve">. From this equation, the terms of initial current, </w:t>
      </w:r>
      <w:r w:rsidRPr="00A95E01">
        <w:rPr>
          <w:i/>
        </w:rPr>
        <w:t>i</w:t>
      </w:r>
      <w:r w:rsidRPr="00A95E01">
        <w:rPr>
          <w:i/>
          <w:vertAlign w:val="subscript"/>
        </w:rPr>
        <w:t>0</w:t>
      </w:r>
      <w:r w:rsidRPr="00A95E01">
        <w:t xml:space="preserve">, and cell coefficient, </w:t>
      </w:r>
      <w:r w:rsidRPr="00A95E01">
        <w:rPr>
          <w:i/>
        </w:rPr>
        <w:t>p</w:t>
      </w:r>
      <w:r w:rsidRPr="00A95E01">
        <w:t>, can be estimated for an experiment’s given analytic conditions (including set-up, stirring mode, and nature of the analyte).</w:t>
      </w:r>
    </w:p>
    <w:p w:rsidR="00AB073E" w:rsidRPr="00A95E01" w:rsidRDefault="00AB073E" w:rsidP="009322C4">
      <w:pPr>
        <w:spacing w:line="360" w:lineRule="auto"/>
        <w:jc w:val="center"/>
      </w:pPr>
      <m:oMath>
        <m:r>
          <w:rPr>
            <w:rFonts w:ascii="Cambria Math" w:hAnsi="Cambria Math"/>
          </w:rPr>
          <m:t>i(t)=</m:t>
        </m:r>
        <m:sSub>
          <m:sSubPr>
            <m:ctrlPr>
              <w:rPr>
                <w:rFonts w:ascii="Cambria Math" w:hAnsi="Cambria Math"/>
                <w:i/>
              </w:rPr>
            </m:ctrlPr>
          </m:sSubPr>
          <m:e>
            <m:r>
              <w:rPr>
                <w:rFonts w:ascii="Cambria Math" w:hAnsi="Cambria Math"/>
              </w:rPr>
              <m:t>i</m:t>
            </m:r>
          </m:e>
          <m:sub>
            <m:r>
              <w:rPr>
                <w:rFonts w:ascii="Cambria Math" w:hAnsi="Cambria Math"/>
              </w:rPr>
              <m:t>0</m:t>
            </m:r>
          </m:sub>
        </m:sSub>
        <m:r>
          <m:rPr>
            <m:sty m:val="p"/>
          </m:rPr>
          <w:rPr>
            <w:rFonts w:ascii="Cambria Math" w:hAnsi="Cambria Math"/>
          </w:rPr>
          <m:t>exp⁡</m:t>
        </m:r>
        <m:r>
          <w:rPr>
            <w:rFonts w:ascii="Cambria Math" w:hAnsi="Cambria Math"/>
          </w:rPr>
          <m:t>(-pt)</m:t>
        </m:r>
      </m:oMath>
      <w:r w:rsidRPr="00A95E01">
        <w:tab/>
      </w:r>
      <w:r w:rsidRPr="00A95E01">
        <w:tab/>
        <w:t>(8)</w:t>
      </w:r>
    </w:p>
    <w:p w:rsidR="00AB073E" w:rsidRPr="00A95E01" w:rsidRDefault="00AB073E" w:rsidP="009322C4">
      <w:pPr>
        <w:spacing w:line="360" w:lineRule="auto"/>
        <w:jc w:val="both"/>
      </w:pPr>
      <w:r w:rsidRPr="00A95E01">
        <w:t>In Eq</w:t>
      </w:r>
      <w:r w:rsidR="009322C4" w:rsidRPr="00A95E01">
        <w:t>.</w:t>
      </w:r>
      <w:r w:rsidRPr="00A95E01">
        <w:t xml:space="preserve"> </w:t>
      </w:r>
      <w:r w:rsidR="009322C4" w:rsidRPr="00A95E01">
        <w:t>(</w:t>
      </w:r>
      <w:r w:rsidRPr="00A95E01">
        <w:t>9</w:t>
      </w:r>
      <w:r w:rsidR="009322C4" w:rsidRPr="00A95E01">
        <w:t>)</w:t>
      </w:r>
      <w:r w:rsidRPr="00A95E01">
        <w:t xml:space="preserve">, the coefficient cell, </w:t>
      </w:r>
      <w:r w:rsidRPr="00A95E01">
        <w:rPr>
          <w:i/>
        </w:rPr>
        <w:t>p</w:t>
      </w:r>
      <w:r w:rsidRPr="00A95E01">
        <w:t>, is expressed in s</w:t>
      </w:r>
      <w:r w:rsidRPr="00A95E01">
        <w:rPr>
          <w:vertAlign w:val="superscript"/>
        </w:rPr>
        <w:t>-1</w:t>
      </w:r>
      <w:r w:rsidRPr="00A95E01">
        <w:t xml:space="preserve"> and represents the rate of the reaction. </w:t>
      </w:r>
      <w:r w:rsidRPr="00A95E01">
        <w:rPr>
          <w:i/>
        </w:rPr>
        <w:t>p</w:t>
      </w:r>
      <w:r w:rsidRPr="00A95E01">
        <w:t xml:space="preserve"> is expressed as a function of the surface area of the electrode, </w:t>
      </w:r>
      <w:r w:rsidRPr="00A95E01">
        <w:rPr>
          <w:i/>
        </w:rPr>
        <w:t>A</w:t>
      </w:r>
      <w:r w:rsidRPr="00A95E01">
        <w:t xml:space="preserve">, the volume of solution, </w:t>
      </w:r>
      <w:r w:rsidRPr="00A95E01">
        <w:rPr>
          <w:i/>
        </w:rPr>
        <w:t>V</w:t>
      </w:r>
      <w:r w:rsidRPr="00A95E01">
        <w:t xml:space="preserve">, and the mass transfer coefficient, </w:t>
      </w:r>
      <w:r w:rsidRPr="00A95E01">
        <w:rPr>
          <w:i/>
        </w:rPr>
        <w:t>m</w:t>
      </w:r>
      <w:r w:rsidRPr="00A95E01">
        <w:t xml:space="preserve">. In a convective diffusion regime, </w:t>
      </w:r>
      <w:r w:rsidRPr="00A95E01">
        <w:rPr>
          <w:i/>
        </w:rPr>
        <w:t>m</w:t>
      </w:r>
      <w:r w:rsidRPr="00A95E01">
        <w:t xml:space="preserve"> is dependent on the diffusion coefficient of the Pu species, on the viscosity of the medium, and on the stirring speed during experiments.</w:t>
      </w:r>
    </w:p>
    <w:p w:rsidR="00AB073E" w:rsidRPr="00A95E01" w:rsidRDefault="00AB073E" w:rsidP="009322C4">
      <w:pPr>
        <w:spacing w:line="360" w:lineRule="auto"/>
        <w:jc w:val="center"/>
      </w:pPr>
      <m:oMath>
        <m:r>
          <w:rPr>
            <w:rFonts w:ascii="Cambria Math" w:hAnsi="Cambria Math"/>
          </w:rPr>
          <m:t>p=m</m:t>
        </m:r>
        <m:f>
          <m:fPr>
            <m:ctrlPr>
              <w:rPr>
                <w:rFonts w:ascii="Cambria Math" w:hAnsi="Cambria Math"/>
                <w:i/>
              </w:rPr>
            </m:ctrlPr>
          </m:fPr>
          <m:num>
            <m:r>
              <w:rPr>
                <w:rFonts w:ascii="Cambria Math" w:hAnsi="Cambria Math"/>
              </w:rPr>
              <m:t>A</m:t>
            </m:r>
          </m:num>
          <m:den>
            <m:r>
              <w:rPr>
                <w:rFonts w:ascii="Cambria Math" w:hAnsi="Cambria Math"/>
              </w:rPr>
              <m:t>V</m:t>
            </m:r>
          </m:den>
        </m:f>
      </m:oMath>
      <w:r w:rsidRPr="00A95E01">
        <w:tab/>
      </w:r>
      <w:r w:rsidRPr="00A95E01">
        <w:tab/>
      </w:r>
      <w:r w:rsidRPr="00A95E01">
        <w:tab/>
        <w:t>(9)</w:t>
      </w:r>
    </w:p>
    <w:p w:rsidR="00AB073E" w:rsidRPr="00A95E01" w:rsidRDefault="00AB073E" w:rsidP="009322C4">
      <w:pPr>
        <w:spacing w:line="360" w:lineRule="auto"/>
        <w:jc w:val="both"/>
      </w:pPr>
      <w:r w:rsidRPr="00A95E01">
        <w:t xml:space="preserve">The inverse value of </w:t>
      </w:r>
      <w:r w:rsidRPr="00A95E01">
        <w:rPr>
          <w:i/>
        </w:rPr>
        <w:t>p</w:t>
      </w:r>
      <w:r w:rsidRPr="00A95E01">
        <w:t xml:space="preserve"> represents the cell constant, </w:t>
      </w:r>
      <w:r w:rsidRPr="00A95E01">
        <w:sym w:font="Symbol" w:char="F074"/>
      </w:r>
      <w:r w:rsidRPr="00A95E01">
        <w:t xml:space="preserve"> (expressed in seconds). For a duration of electrolysis corresponding to 6.9</w:t>
      </w:r>
      <w:r w:rsidRPr="00A95E01">
        <w:sym w:font="Symbol" w:char="F074"/>
      </w:r>
      <w:r w:rsidRPr="00A95E01">
        <w:t>, a proportion of 99.9% of the initial Pu</w:t>
      </w:r>
      <w:r w:rsidR="009322C4" w:rsidRPr="00A95E01">
        <w:t>(III)</w:t>
      </w:r>
      <w:r w:rsidRPr="00A95E01">
        <w:t xml:space="preserve"> will have been oxidized. This calculation provides a good indication of the time of analysis required by a CPC titration (at least 500 s). </w:t>
      </w:r>
    </w:p>
    <w:p w:rsidR="00AB073E" w:rsidRPr="00A95E01" w:rsidRDefault="00AB073E" w:rsidP="009322C4">
      <w:pPr>
        <w:spacing w:line="360" w:lineRule="auto"/>
        <w:jc w:val="both"/>
      </w:pPr>
      <w:r w:rsidRPr="00A95E01">
        <w:t xml:space="preserve">From </w:t>
      </w:r>
      <w:r w:rsidR="009322C4" w:rsidRPr="00A95E01">
        <w:t>Eq.</w:t>
      </w:r>
      <w:r w:rsidRPr="00A95E01">
        <w:t xml:space="preserve"> </w:t>
      </w:r>
      <w:r w:rsidR="009322C4" w:rsidRPr="00A95E01">
        <w:t>(</w:t>
      </w:r>
      <w:r w:rsidRPr="00A95E01">
        <w:t>8</w:t>
      </w:r>
      <w:r w:rsidR="009322C4" w:rsidRPr="00A95E01">
        <w:t>)</w:t>
      </w:r>
      <w:r w:rsidRPr="00A95E01">
        <w:t xml:space="preserve"> and </w:t>
      </w:r>
      <w:r w:rsidR="009322C4" w:rsidRPr="00A95E01">
        <w:t>(</w:t>
      </w:r>
      <w:r w:rsidRPr="00A95E01">
        <w:t>9</w:t>
      </w:r>
      <w:r w:rsidR="009322C4" w:rsidRPr="00A95E01">
        <w:t>)</w:t>
      </w:r>
      <w:r w:rsidRPr="00A95E01">
        <w:t xml:space="preserve">, it was possible to determine the terms </w:t>
      </w:r>
      <w:r w:rsidRPr="00A95E01">
        <w:rPr>
          <w:i/>
        </w:rPr>
        <w:t>i</w:t>
      </w:r>
      <w:r w:rsidRPr="00A95E01">
        <w:rPr>
          <w:i/>
          <w:vertAlign w:val="subscript"/>
        </w:rPr>
        <w:t>o</w:t>
      </w:r>
      <w:r w:rsidRPr="00A95E01">
        <w:rPr>
          <w:i/>
        </w:rPr>
        <w:t>,</w:t>
      </w:r>
      <w:r w:rsidRPr="00A95E01">
        <w:t xml:space="preserve"> </w:t>
      </w:r>
      <w:r w:rsidRPr="00A95E01">
        <w:rPr>
          <w:i/>
        </w:rPr>
        <w:t>p</w:t>
      </w:r>
      <w:r w:rsidRPr="00A95E01">
        <w:t xml:space="preserve">, and </w:t>
      </w:r>
      <w:r w:rsidRPr="00A95E01">
        <w:sym w:font="Symbol" w:char="F074"/>
      </w:r>
      <w:r w:rsidRPr="00A95E01">
        <w:t xml:space="preserve">  for the experiments performed in this study. The values for these terms as determined by the mathematical simulations are shown in Table 4 in addition to the </w:t>
      </w:r>
      <w:r w:rsidRPr="00A95E01">
        <w:rPr>
          <w:i/>
        </w:rPr>
        <w:t>i</w:t>
      </w:r>
      <w:r w:rsidRPr="00A95E01">
        <w:rPr>
          <w:i/>
          <w:vertAlign w:val="subscript"/>
        </w:rPr>
        <w:t>o</w:t>
      </w:r>
      <w:r w:rsidRPr="00A95E01">
        <w:rPr>
          <w:i/>
        </w:rPr>
        <w:t>,</w:t>
      </w:r>
      <w:r w:rsidRPr="00A95E01">
        <w:t xml:space="preserve"> value measured experimentally. It </w:t>
      </w:r>
      <w:r w:rsidRPr="00A95E01">
        <w:lastRenderedPageBreak/>
        <w:t xml:space="preserve">can be seen that the terms are reproducible between experiments. The mean value of </w:t>
      </w:r>
      <w:r w:rsidRPr="00A95E01">
        <w:rPr>
          <w:i/>
        </w:rPr>
        <w:t>p</w:t>
      </w:r>
      <w:r w:rsidRPr="00A95E01">
        <w:t xml:space="preserve"> (close to 15</w:t>
      </w:r>
      <w:r w:rsidRPr="00A95E01">
        <w:sym w:font="Wingdings" w:char="F09E"/>
      </w:r>
      <w:r w:rsidRPr="00A95E01">
        <w:t>10</w:t>
      </w:r>
      <w:r w:rsidRPr="00A95E01">
        <w:rPr>
          <w:vertAlign w:val="superscript"/>
        </w:rPr>
        <w:t>-3</w:t>
      </w:r>
      <w:r w:rsidRPr="00A95E01">
        <w:t xml:space="preserve"> s</w:t>
      </w:r>
      <w:r w:rsidRPr="00A95E01">
        <w:rPr>
          <w:vertAlign w:val="superscript"/>
        </w:rPr>
        <w:t>-1</w:t>
      </w:r>
      <w:r w:rsidRPr="00A95E01">
        <w:t xml:space="preserve">) is consistent with values previously reported in literature </w:t>
      </w:r>
      <w:r w:rsidR="00B97CA3" w:rsidRPr="00B97CA3">
        <w:t>[21]</w:t>
      </w:r>
      <w:r w:rsidRPr="00A95E01">
        <w:t>. As such, the stirring procedure in the present study can be considered optimized for the specific experimental conditions: sufficient to reach a reasonable rate of reaction without risks of splashing.</w:t>
      </w:r>
    </w:p>
    <w:tbl>
      <w:tblPr>
        <w:tblW w:w="7205" w:type="dxa"/>
        <w:jc w:val="center"/>
        <w:tblCellMar>
          <w:left w:w="70" w:type="dxa"/>
          <w:right w:w="70" w:type="dxa"/>
        </w:tblCellMar>
        <w:tblLook w:val="04A0" w:firstRow="1" w:lastRow="0" w:firstColumn="1" w:lastColumn="0" w:noHBand="0" w:noVBand="1"/>
      </w:tblPr>
      <w:tblGrid>
        <w:gridCol w:w="1260"/>
        <w:gridCol w:w="1201"/>
        <w:gridCol w:w="1201"/>
        <w:gridCol w:w="1201"/>
        <w:gridCol w:w="1201"/>
        <w:gridCol w:w="1201"/>
      </w:tblGrid>
      <w:tr w:rsidR="00AB073E" w:rsidRPr="00A95E01" w:rsidTr="00AB073E">
        <w:trPr>
          <w:trHeight w:val="300"/>
          <w:jc w:val="center"/>
        </w:trPr>
        <w:tc>
          <w:tcPr>
            <w:tcW w:w="1200" w:type="dxa"/>
            <w:tcBorders>
              <w:top w:val="single" w:sz="4" w:space="0" w:color="auto"/>
              <w:bottom w:val="single" w:sz="4" w:space="0" w:color="auto"/>
            </w:tcBorders>
            <w:shd w:val="clear" w:color="auto" w:fill="auto"/>
            <w:noWrap/>
            <w:vAlign w:val="center"/>
            <w:hideMark/>
          </w:tcPr>
          <w:p w:rsidR="00AB073E" w:rsidRPr="00A95E01" w:rsidRDefault="00AB073E" w:rsidP="009E490A">
            <w:pPr>
              <w:spacing w:line="360" w:lineRule="auto"/>
              <w:jc w:val="both"/>
            </w:pPr>
            <w:bookmarkStart w:id="4" w:name="RANGE!A1:F9"/>
            <w:r w:rsidRPr="00A95E01">
              <w:t>Exp</w:t>
            </w:r>
            <w:bookmarkEnd w:id="4"/>
            <w:r w:rsidRPr="00A95E01">
              <w:t>eriment</w:t>
            </w:r>
          </w:p>
        </w:tc>
        <w:tc>
          <w:tcPr>
            <w:tcW w:w="1201" w:type="dxa"/>
            <w:tcBorders>
              <w:top w:val="single" w:sz="4" w:space="0" w:color="auto"/>
              <w:left w:val="nil"/>
              <w:bottom w:val="single" w:sz="4" w:space="0" w:color="auto"/>
            </w:tcBorders>
            <w:shd w:val="clear" w:color="auto" w:fill="auto"/>
            <w:noWrap/>
            <w:vAlign w:val="center"/>
            <w:hideMark/>
          </w:tcPr>
          <w:p w:rsidR="00AB073E" w:rsidRPr="00A95E01" w:rsidRDefault="00AB073E" w:rsidP="009E490A">
            <w:pPr>
              <w:spacing w:line="360" w:lineRule="auto"/>
              <w:jc w:val="both"/>
            </w:pPr>
            <w:r w:rsidRPr="00A95E01">
              <w:rPr>
                <w:i/>
              </w:rPr>
              <w:t>i</w:t>
            </w:r>
            <w:r w:rsidRPr="00A95E01">
              <w:rPr>
                <w:i/>
                <w:vertAlign w:val="subscript"/>
              </w:rPr>
              <w:t>0</w:t>
            </w:r>
            <w:r w:rsidRPr="00A95E01">
              <w:rPr>
                <w:vertAlign w:val="subscript"/>
              </w:rPr>
              <w:t xml:space="preserve"> exp </w:t>
            </w:r>
            <w:r w:rsidRPr="00A95E01">
              <w:t xml:space="preserve"> (µA)</w:t>
            </w:r>
          </w:p>
        </w:tc>
        <w:tc>
          <w:tcPr>
            <w:tcW w:w="1201" w:type="dxa"/>
            <w:tcBorders>
              <w:top w:val="single" w:sz="4" w:space="0" w:color="auto"/>
              <w:bottom w:val="single" w:sz="4" w:space="0" w:color="auto"/>
            </w:tcBorders>
            <w:shd w:val="clear" w:color="auto" w:fill="auto"/>
            <w:noWrap/>
            <w:vAlign w:val="center"/>
            <w:hideMark/>
          </w:tcPr>
          <w:p w:rsidR="00AB073E" w:rsidRPr="00A95E01" w:rsidRDefault="00AB073E" w:rsidP="009E490A">
            <w:pPr>
              <w:spacing w:line="360" w:lineRule="auto"/>
              <w:jc w:val="both"/>
            </w:pPr>
            <w:r w:rsidRPr="00A95E01">
              <w:rPr>
                <w:i/>
              </w:rPr>
              <w:t>i</w:t>
            </w:r>
            <w:r w:rsidRPr="00A95E01">
              <w:rPr>
                <w:i/>
                <w:vertAlign w:val="subscript"/>
              </w:rPr>
              <w:t>0</w:t>
            </w:r>
            <w:r w:rsidRPr="00A95E01">
              <w:rPr>
                <w:vertAlign w:val="subscript"/>
              </w:rPr>
              <w:t xml:space="preserve"> sim </w:t>
            </w:r>
            <w:r w:rsidRPr="00A95E01">
              <w:t xml:space="preserve"> (µA)</w:t>
            </w:r>
          </w:p>
        </w:tc>
        <w:tc>
          <w:tcPr>
            <w:tcW w:w="1201" w:type="dxa"/>
            <w:tcBorders>
              <w:top w:val="single" w:sz="4" w:space="0" w:color="auto"/>
              <w:bottom w:val="single" w:sz="4" w:space="0" w:color="auto"/>
            </w:tcBorders>
            <w:shd w:val="clear" w:color="auto" w:fill="auto"/>
            <w:noWrap/>
            <w:vAlign w:val="center"/>
            <w:hideMark/>
          </w:tcPr>
          <w:p w:rsidR="00AB073E" w:rsidRPr="00A95E01" w:rsidRDefault="00AB073E" w:rsidP="009E490A">
            <w:pPr>
              <w:spacing w:line="360" w:lineRule="auto"/>
              <w:jc w:val="both"/>
            </w:pPr>
            <w:r w:rsidRPr="00A95E01">
              <w:t>10</w:t>
            </w:r>
            <w:r w:rsidRPr="00A95E01">
              <w:rPr>
                <w:vertAlign w:val="superscript"/>
              </w:rPr>
              <w:t xml:space="preserve">3 </w:t>
            </w:r>
            <w:r w:rsidRPr="00A95E01">
              <w:rPr>
                <w:i/>
              </w:rPr>
              <w:t>p</w:t>
            </w:r>
            <w:r w:rsidRPr="00A95E01">
              <w:t xml:space="preserve"> (s</w:t>
            </w:r>
            <w:r w:rsidRPr="00A95E01">
              <w:rPr>
                <w:vertAlign w:val="superscript"/>
              </w:rPr>
              <w:t>-1</w:t>
            </w:r>
            <w:r w:rsidRPr="00A95E01">
              <w:t>)</w:t>
            </w:r>
          </w:p>
        </w:tc>
        <w:tc>
          <w:tcPr>
            <w:tcW w:w="1201" w:type="dxa"/>
            <w:tcBorders>
              <w:top w:val="single" w:sz="4" w:space="0" w:color="auto"/>
              <w:bottom w:val="single" w:sz="4" w:space="0" w:color="auto"/>
            </w:tcBorders>
            <w:shd w:val="clear" w:color="auto" w:fill="auto"/>
            <w:noWrap/>
            <w:vAlign w:val="center"/>
            <w:hideMark/>
          </w:tcPr>
          <w:p w:rsidR="00AB073E" w:rsidRPr="00A95E01" w:rsidRDefault="00AB073E" w:rsidP="009E490A">
            <w:pPr>
              <w:spacing w:line="360" w:lineRule="auto"/>
              <w:jc w:val="both"/>
            </w:pPr>
            <w:r w:rsidRPr="00A95E01">
              <w:sym w:font="Symbol" w:char="F074"/>
            </w:r>
            <w:r w:rsidRPr="00A95E01">
              <w:t>(s)</w:t>
            </w:r>
          </w:p>
        </w:tc>
        <w:tc>
          <w:tcPr>
            <w:tcW w:w="1201" w:type="dxa"/>
            <w:tcBorders>
              <w:top w:val="single" w:sz="4" w:space="0" w:color="auto"/>
              <w:bottom w:val="single" w:sz="4" w:space="0" w:color="auto"/>
            </w:tcBorders>
            <w:shd w:val="clear" w:color="auto" w:fill="auto"/>
            <w:noWrap/>
            <w:vAlign w:val="center"/>
            <w:hideMark/>
          </w:tcPr>
          <w:p w:rsidR="00AB073E" w:rsidRPr="00A95E01" w:rsidRDefault="00AB073E" w:rsidP="009E490A">
            <w:pPr>
              <w:spacing w:line="360" w:lineRule="auto"/>
              <w:jc w:val="both"/>
            </w:pPr>
            <w:r w:rsidRPr="00A95E01">
              <w:t>6,9</w:t>
            </w:r>
            <w:r w:rsidRPr="00A95E01">
              <w:sym w:font="Symbol" w:char="F074"/>
            </w:r>
            <w:r w:rsidRPr="00A95E01">
              <w:t xml:space="preserve"> (s)</w:t>
            </w:r>
          </w:p>
        </w:tc>
      </w:tr>
      <w:tr w:rsidR="00AB073E" w:rsidRPr="00A95E01" w:rsidTr="00AB073E">
        <w:trPr>
          <w:trHeight w:val="300"/>
          <w:jc w:val="center"/>
        </w:trPr>
        <w:tc>
          <w:tcPr>
            <w:tcW w:w="1200" w:type="dxa"/>
            <w:tcBorders>
              <w:top w:val="nil"/>
              <w:bottom w:val="nil"/>
            </w:tcBorders>
            <w:shd w:val="clear" w:color="auto" w:fill="auto"/>
            <w:noWrap/>
            <w:vAlign w:val="bottom"/>
            <w:hideMark/>
          </w:tcPr>
          <w:p w:rsidR="00AB073E" w:rsidRPr="00A95E01" w:rsidRDefault="00AB073E" w:rsidP="009E490A">
            <w:pPr>
              <w:spacing w:line="360" w:lineRule="auto"/>
              <w:jc w:val="both"/>
            </w:pPr>
            <w:r w:rsidRPr="00A95E01">
              <w:t>LF04</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33788</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35025</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13.8</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72.4</w:t>
            </w:r>
          </w:p>
        </w:tc>
        <w:tc>
          <w:tcPr>
            <w:tcW w:w="1201" w:type="dxa"/>
            <w:tcBorders>
              <w:top w:val="nil"/>
              <w:left w:val="nil"/>
              <w:bottom w:val="nil"/>
            </w:tcBorders>
            <w:shd w:val="clear" w:color="auto" w:fill="auto"/>
            <w:noWrap/>
            <w:vAlign w:val="center"/>
            <w:hideMark/>
          </w:tcPr>
          <w:p w:rsidR="00AB073E" w:rsidRPr="00A95E01" w:rsidRDefault="00AB073E" w:rsidP="009E490A">
            <w:pPr>
              <w:spacing w:line="360" w:lineRule="auto"/>
              <w:jc w:val="both"/>
            </w:pPr>
            <w:r w:rsidRPr="00A95E01">
              <w:t>500</w:t>
            </w:r>
          </w:p>
        </w:tc>
      </w:tr>
      <w:tr w:rsidR="00AB073E" w:rsidRPr="00A95E01" w:rsidTr="00AB073E">
        <w:trPr>
          <w:trHeight w:val="300"/>
          <w:jc w:val="center"/>
        </w:trPr>
        <w:tc>
          <w:tcPr>
            <w:tcW w:w="1200" w:type="dxa"/>
            <w:tcBorders>
              <w:top w:val="nil"/>
            </w:tcBorders>
            <w:shd w:val="clear" w:color="auto" w:fill="auto"/>
            <w:noWrap/>
            <w:vAlign w:val="bottom"/>
            <w:hideMark/>
          </w:tcPr>
          <w:p w:rsidR="00AB073E" w:rsidRPr="00A95E01" w:rsidRDefault="00AB073E" w:rsidP="009E490A">
            <w:pPr>
              <w:spacing w:line="360" w:lineRule="auto"/>
              <w:jc w:val="both"/>
            </w:pPr>
            <w:r w:rsidRPr="00A95E01">
              <w:t>LF05</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34465</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36406</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14.4</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69.4</w:t>
            </w:r>
          </w:p>
        </w:tc>
        <w:tc>
          <w:tcPr>
            <w:tcW w:w="1201" w:type="dxa"/>
            <w:tcBorders>
              <w:top w:val="nil"/>
              <w:left w:val="nil"/>
              <w:bottom w:val="nil"/>
            </w:tcBorders>
            <w:shd w:val="clear" w:color="auto" w:fill="auto"/>
            <w:noWrap/>
            <w:vAlign w:val="center"/>
            <w:hideMark/>
          </w:tcPr>
          <w:p w:rsidR="00AB073E" w:rsidRPr="00A95E01" w:rsidRDefault="00AB073E" w:rsidP="009E490A">
            <w:pPr>
              <w:spacing w:line="360" w:lineRule="auto"/>
              <w:jc w:val="both"/>
            </w:pPr>
            <w:r w:rsidRPr="00A95E01">
              <w:t>479</w:t>
            </w:r>
          </w:p>
        </w:tc>
      </w:tr>
      <w:tr w:rsidR="00AB073E" w:rsidRPr="00A95E01" w:rsidTr="00AB073E">
        <w:trPr>
          <w:trHeight w:val="300"/>
          <w:jc w:val="center"/>
        </w:trPr>
        <w:tc>
          <w:tcPr>
            <w:tcW w:w="1200" w:type="dxa"/>
            <w:tcBorders>
              <w:top w:val="nil"/>
              <w:bottom w:val="nil"/>
            </w:tcBorders>
            <w:shd w:val="clear" w:color="auto" w:fill="auto"/>
            <w:noWrap/>
            <w:vAlign w:val="bottom"/>
            <w:hideMark/>
          </w:tcPr>
          <w:p w:rsidR="00AB073E" w:rsidRPr="00A95E01" w:rsidRDefault="00AB073E" w:rsidP="009E490A">
            <w:pPr>
              <w:spacing w:line="360" w:lineRule="auto"/>
              <w:jc w:val="both"/>
            </w:pPr>
            <w:r w:rsidRPr="00A95E01">
              <w:t>LF06</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36238</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39785</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15.7</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63.9</w:t>
            </w:r>
          </w:p>
        </w:tc>
        <w:tc>
          <w:tcPr>
            <w:tcW w:w="1201" w:type="dxa"/>
            <w:tcBorders>
              <w:top w:val="nil"/>
              <w:left w:val="nil"/>
              <w:bottom w:val="nil"/>
            </w:tcBorders>
            <w:shd w:val="clear" w:color="auto" w:fill="auto"/>
            <w:noWrap/>
            <w:vAlign w:val="center"/>
            <w:hideMark/>
          </w:tcPr>
          <w:p w:rsidR="00AB073E" w:rsidRPr="00A95E01" w:rsidRDefault="00AB073E" w:rsidP="009E490A">
            <w:pPr>
              <w:spacing w:line="360" w:lineRule="auto"/>
              <w:jc w:val="both"/>
            </w:pPr>
            <w:r w:rsidRPr="00A95E01">
              <w:t>441</w:t>
            </w:r>
          </w:p>
        </w:tc>
      </w:tr>
      <w:tr w:rsidR="00AB073E" w:rsidRPr="00A95E01" w:rsidTr="00AB073E">
        <w:trPr>
          <w:trHeight w:val="300"/>
          <w:jc w:val="center"/>
        </w:trPr>
        <w:tc>
          <w:tcPr>
            <w:tcW w:w="1200" w:type="dxa"/>
            <w:tcBorders>
              <w:top w:val="nil"/>
              <w:bottom w:val="nil"/>
            </w:tcBorders>
            <w:shd w:val="clear" w:color="auto" w:fill="auto"/>
            <w:noWrap/>
            <w:vAlign w:val="bottom"/>
            <w:hideMark/>
          </w:tcPr>
          <w:p w:rsidR="00AB073E" w:rsidRPr="00A95E01" w:rsidRDefault="00AB073E" w:rsidP="009E490A">
            <w:pPr>
              <w:spacing w:line="360" w:lineRule="auto"/>
              <w:jc w:val="both"/>
            </w:pPr>
            <w:r w:rsidRPr="00A95E01">
              <w:t>LF07</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32448</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34814</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13.7</w:t>
            </w:r>
          </w:p>
        </w:tc>
        <w:tc>
          <w:tcPr>
            <w:tcW w:w="1201" w:type="dxa"/>
            <w:tcBorders>
              <w:top w:val="nil"/>
              <w:left w:val="nil"/>
              <w:bottom w:val="nil"/>
              <w:right w:val="nil"/>
            </w:tcBorders>
            <w:shd w:val="clear" w:color="auto" w:fill="auto"/>
            <w:noWrap/>
            <w:vAlign w:val="center"/>
            <w:hideMark/>
          </w:tcPr>
          <w:p w:rsidR="00AB073E" w:rsidRPr="00A95E01" w:rsidRDefault="00AB073E" w:rsidP="009E490A">
            <w:pPr>
              <w:spacing w:line="360" w:lineRule="auto"/>
              <w:jc w:val="both"/>
            </w:pPr>
            <w:r w:rsidRPr="00A95E01">
              <w:t>72.9</w:t>
            </w:r>
          </w:p>
        </w:tc>
        <w:tc>
          <w:tcPr>
            <w:tcW w:w="1201" w:type="dxa"/>
            <w:tcBorders>
              <w:top w:val="nil"/>
              <w:left w:val="nil"/>
              <w:bottom w:val="nil"/>
            </w:tcBorders>
            <w:shd w:val="clear" w:color="auto" w:fill="auto"/>
            <w:noWrap/>
            <w:vAlign w:val="center"/>
            <w:hideMark/>
          </w:tcPr>
          <w:p w:rsidR="00AB073E" w:rsidRPr="00A95E01" w:rsidRDefault="00AB073E" w:rsidP="009E490A">
            <w:pPr>
              <w:spacing w:line="360" w:lineRule="auto"/>
              <w:jc w:val="both"/>
            </w:pPr>
            <w:r w:rsidRPr="00A95E01">
              <w:t>503</w:t>
            </w:r>
          </w:p>
        </w:tc>
      </w:tr>
      <w:tr w:rsidR="00AB073E" w:rsidRPr="00A95E01" w:rsidTr="00AB073E">
        <w:trPr>
          <w:trHeight w:val="300"/>
          <w:jc w:val="center"/>
        </w:trPr>
        <w:tc>
          <w:tcPr>
            <w:tcW w:w="1200" w:type="dxa"/>
            <w:tcBorders>
              <w:top w:val="nil"/>
              <w:bottom w:val="single" w:sz="4" w:space="0" w:color="auto"/>
            </w:tcBorders>
            <w:shd w:val="clear" w:color="auto" w:fill="auto"/>
            <w:noWrap/>
            <w:vAlign w:val="bottom"/>
            <w:hideMark/>
          </w:tcPr>
          <w:p w:rsidR="00AB073E" w:rsidRPr="00A95E01" w:rsidRDefault="00AB073E" w:rsidP="009E490A">
            <w:pPr>
              <w:spacing w:line="360" w:lineRule="auto"/>
              <w:jc w:val="both"/>
            </w:pPr>
            <w:r w:rsidRPr="00A95E01">
              <w:t>LF08</w:t>
            </w:r>
          </w:p>
        </w:tc>
        <w:tc>
          <w:tcPr>
            <w:tcW w:w="1201" w:type="dxa"/>
            <w:tcBorders>
              <w:top w:val="nil"/>
              <w:left w:val="nil"/>
              <w:bottom w:val="single" w:sz="4" w:space="0" w:color="auto"/>
              <w:right w:val="nil"/>
            </w:tcBorders>
            <w:shd w:val="clear" w:color="auto" w:fill="auto"/>
            <w:noWrap/>
            <w:vAlign w:val="center"/>
            <w:hideMark/>
          </w:tcPr>
          <w:p w:rsidR="00AB073E" w:rsidRPr="00A95E01" w:rsidRDefault="00AB073E" w:rsidP="009E490A">
            <w:pPr>
              <w:spacing w:line="360" w:lineRule="auto"/>
              <w:jc w:val="both"/>
            </w:pPr>
            <w:r w:rsidRPr="00A95E01">
              <w:t>34570</w:t>
            </w:r>
          </w:p>
        </w:tc>
        <w:tc>
          <w:tcPr>
            <w:tcW w:w="1201" w:type="dxa"/>
            <w:tcBorders>
              <w:top w:val="nil"/>
              <w:left w:val="nil"/>
              <w:bottom w:val="single" w:sz="4" w:space="0" w:color="auto"/>
              <w:right w:val="nil"/>
            </w:tcBorders>
            <w:shd w:val="clear" w:color="auto" w:fill="auto"/>
            <w:noWrap/>
            <w:vAlign w:val="center"/>
            <w:hideMark/>
          </w:tcPr>
          <w:p w:rsidR="00AB073E" w:rsidRPr="00A95E01" w:rsidRDefault="00AB073E" w:rsidP="009E490A">
            <w:pPr>
              <w:spacing w:line="360" w:lineRule="auto"/>
              <w:jc w:val="both"/>
            </w:pPr>
            <w:r w:rsidRPr="00A95E01">
              <w:t>36615</w:t>
            </w:r>
          </w:p>
        </w:tc>
        <w:tc>
          <w:tcPr>
            <w:tcW w:w="1201" w:type="dxa"/>
            <w:tcBorders>
              <w:top w:val="nil"/>
              <w:left w:val="nil"/>
              <w:bottom w:val="single" w:sz="4" w:space="0" w:color="auto"/>
              <w:right w:val="nil"/>
            </w:tcBorders>
            <w:shd w:val="clear" w:color="auto" w:fill="auto"/>
            <w:noWrap/>
            <w:vAlign w:val="center"/>
            <w:hideMark/>
          </w:tcPr>
          <w:p w:rsidR="00AB073E" w:rsidRPr="00A95E01" w:rsidRDefault="00AB073E" w:rsidP="009E490A">
            <w:pPr>
              <w:spacing w:line="360" w:lineRule="auto"/>
              <w:jc w:val="both"/>
            </w:pPr>
            <w:r w:rsidRPr="00A95E01">
              <w:t>14.5</w:t>
            </w:r>
          </w:p>
        </w:tc>
        <w:tc>
          <w:tcPr>
            <w:tcW w:w="1201" w:type="dxa"/>
            <w:tcBorders>
              <w:top w:val="nil"/>
              <w:left w:val="nil"/>
              <w:bottom w:val="single" w:sz="4" w:space="0" w:color="auto"/>
              <w:right w:val="nil"/>
            </w:tcBorders>
            <w:shd w:val="clear" w:color="auto" w:fill="auto"/>
            <w:noWrap/>
            <w:vAlign w:val="center"/>
            <w:hideMark/>
          </w:tcPr>
          <w:p w:rsidR="00AB073E" w:rsidRPr="00A95E01" w:rsidRDefault="00AB073E" w:rsidP="009E490A">
            <w:pPr>
              <w:spacing w:line="360" w:lineRule="auto"/>
              <w:jc w:val="both"/>
            </w:pPr>
            <w:r w:rsidRPr="00A95E01">
              <w:t>69.1</w:t>
            </w:r>
          </w:p>
        </w:tc>
        <w:tc>
          <w:tcPr>
            <w:tcW w:w="1201" w:type="dxa"/>
            <w:tcBorders>
              <w:top w:val="nil"/>
              <w:left w:val="nil"/>
              <w:bottom w:val="single" w:sz="4" w:space="0" w:color="auto"/>
            </w:tcBorders>
            <w:shd w:val="clear" w:color="auto" w:fill="auto"/>
            <w:noWrap/>
            <w:vAlign w:val="center"/>
            <w:hideMark/>
          </w:tcPr>
          <w:p w:rsidR="00AB073E" w:rsidRPr="00A95E01" w:rsidRDefault="00AB073E" w:rsidP="009E490A">
            <w:pPr>
              <w:spacing w:line="360" w:lineRule="auto"/>
              <w:jc w:val="both"/>
            </w:pPr>
            <w:r w:rsidRPr="00A95E01">
              <w:t>477</w:t>
            </w:r>
          </w:p>
        </w:tc>
      </w:tr>
    </w:tbl>
    <w:p w:rsidR="00AB073E" w:rsidRPr="00A95E01" w:rsidRDefault="00AB073E" w:rsidP="009E490A">
      <w:pPr>
        <w:spacing w:line="360" w:lineRule="auto"/>
        <w:jc w:val="center"/>
      </w:pPr>
      <w:r w:rsidRPr="00A95E01">
        <w:rPr>
          <w:b/>
        </w:rPr>
        <w:t>Table 4</w:t>
      </w:r>
      <w:r w:rsidRPr="00A95E01">
        <w:t xml:space="preserve"> Parameters of the current simulation: cell constant determinatio</w:t>
      </w:r>
      <w:r w:rsidR="009E490A" w:rsidRPr="00A95E01">
        <w:t>n for the series of experiments</w:t>
      </w:r>
    </w:p>
    <w:p w:rsidR="00AB073E" w:rsidRPr="00A95E01" w:rsidRDefault="00AB073E" w:rsidP="009322C4">
      <w:pPr>
        <w:spacing w:line="360" w:lineRule="auto"/>
        <w:jc w:val="both"/>
      </w:pPr>
      <w:r w:rsidRPr="00A95E01">
        <w:t>Having established the suitability and precision in reproducibility conditions of the experimental procedure employed, titrations of five aliquots of the EQRAIN Pu 14 standard (vial S007) was performed at room temperature (24°C). The Pu mass in the studied samples was determined as a function of the quantity of electricity used during the analysis (corrected, as written in Eq</w:t>
      </w:r>
      <w:r w:rsidR="009E490A" w:rsidRPr="00A95E01">
        <w:t>.</w:t>
      </w:r>
      <w:r w:rsidRPr="00A95E01">
        <w:t xml:space="preserve"> </w:t>
      </w:r>
      <w:r w:rsidR="009E490A" w:rsidRPr="00A95E01">
        <w:t>(</w:t>
      </w:r>
      <w:r w:rsidRPr="00A95E01">
        <w:t>10</w:t>
      </w:r>
      <w:r w:rsidR="009E490A" w:rsidRPr="00A95E01">
        <w:t>)</w:t>
      </w:r>
      <w:r w:rsidRPr="00A95E01">
        <w:t xml:space="preserve">, for the responses of the residual and blank currents as well as the fraction of Pu electrolyzed) as previously described in </w:t>
      </w:r>
      <w:r w:rsidR="009E490A" w:rsidRPr="00A95E01">
        <w:t>Eq.</w:t>
      </w:r>
      <w:r w:rsidRPr="00A95E01">
        <w:t xml:space="preserve"> </w:t>
      </w:r>
      <w:r w:rsidR="009E490A" w:rsidRPr="00A95E01">
        <w:t>(</w:t>
      </w:r>
      <w:r w:rsidRPr="00A95E01">
        <w:t>3</w:t>
      </w:r>
      <w:r w:rsidR="009E490A" w:rsidRPr="00A95E01">
        <w:t>)</w:t>
      </w:r>
      <w:r w:rsidRPr="00A95E01">
        <w:t>. It is important to note that the molecular mass of Pu in the samples was corrected at the date of analysis in order to account for radioactive decay.</w:t>
      </w:r>
    </w:p>
    <w:p w:rsidR="00AB073E" w:rsidRPr="00A95E01" w:rsidRDefault="00257004" w:rsidP="009E490A">
      <w:pPr>
        <w:pStyle w:val="NormalWeb"/>
        <w:spacing w:line="360" w:lineRule="auto"/>
        <w:jc w:val="center"/>
        <w:rPr>
          <w:iCs/>
          <w:color w:val="000000" w:themeColor="text1"/>
          <w:kern w:val="24"/>
          <w:sz w:val="20"/>
          <w:szCs w:val="20"/>
          <w:lang w:val="hu-HU"/>
        </w:rPr>
      </w:pPr>
      <m:oMath>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lang w:val="hu-HU"/>
              </w:rPr>
              <m:t>m</m:t>
            </m:r>
          </m:e>
          <m:sub>
            <m:r>
              <w:rPr>
                <w:rFonts w:ascii="Cambria Math" w:hAnsi="Cambria Math"/>
                <w:color w:val="000000" w:themeColor="text1"/>
                <w:kern w:val="24"/>
                <w:lang w:val="hu-HU"/>
              </w:rPr>
              <m:t>Pu</m:t>
            </m:r>
          </m:sub>
        </m:sSub>
        <m:r>
          <w:rPr>
            <w:rFonts w:ascii="Cambria Math" w:hAnsi="Cambria Math"/>
            <w:color w:val="000000" w:themeColor="text1"/>
            <w:kern w:val="24"/>
            <w:lang w:val="hu-HU"/>
          </w:rPr>
          <m:t>=</m:t>
        </m:r>
        <m:sSub>
          <m:sSubPr>
            <m:ctrlPr>
              <w:rPr>
                <w:rFonts w:ascii="Cambria Math" w:eastAsiaTheme="minorEastAsia" w:hAnsi="Cambria Math"/>
                <w:i/>
                <w:iCs/>
                <w:color w:val="000000" w:themeColor="text1"/>
                <w:kern w:val="24"/>
              </w:rPr>
            </m:ctrlPr>
          </m:sSubPr>
          <m:e>
            <m:f>
              <m:fPr>
                <m:ctrlPr>
                  <w:rPr>
                    <w:rFonts w:ascii="Cambria Math" w:eastAsiaTheme="minorEastAsia" w:hAnsi="Cambria Math"/>
                    <w:i/>
                    <w:iCs/>
                    <w:color w:val="000000" w:themeColor="text1"/>
                    <w:kern w:val="24"/>
                  </w:rPr>
                </m:ctrlPr>
              </m:fPr>
              <m:num>
                <m:r>
                  <w:rPr>
                    <w:rFonts w:ascii="Cambria Math" w:hAnsi="Cambria Math"/>
                    <w:color w:val="000000" w:themeColor="text1"/>
                    <w:kern w:val="24"/>
                    <w:lang w:val="hu-HU"/>
                  </w:rPr>
                  <m:t>Q</m:t>
                </m:r>
              </m:num>
              <m:den>
                <m:r>
                  <w:rPr>
                    <w:rFonts w:ascii="Cambria Math" w:hAnsi="Cambria Math"/>
                    <w:color w:val="000000" w:themeColor="text1"/>
                    <w:kern w:val="24"/>
                    <w:lang w:val="hu-HU"/>
                  </w:rPr>
                  <m:t>nFf</m:t>
                </m:r>
              </m:den>
            </m:f>
            <m:r>
              <w:rPr>
                <w:rFonts w:ascii="Cambria Math" w:hAnsi="Cambria Math"/>
                <w:color w:val="000000" w:themeColor="text1"/>
                <w:kern w:val="24"/>
                <w:lang w:val="hu-HU"/>
              </w:rPr>
              <m:t>M</m:t>
            </m:r>
          </m:e>
          <m:sub>
            <m:r>
              <w:rPr>
                <w:rFonts w:ascii="Cambria Math" w:hAnsi="Cambria Math"/>
                <w:color w:val="000000" w:themeColor="text1"/>
                <w:kern w:val="24"/>
                <w:lang w:val="hu-HU"/>
              </w:rPr>
              <m:t>Pu</m:t>
            </m:r>
          </m:sub>
        </m:sSub>
        <m:r>
          <w:rPr>
            <w:rFonts w:ascii="Cambria Math" w:hAnsi="Cambria Math"/>
            <w:color w:val="000000" w:themeColor="text1"/>
            <w:kern w:val="24"/>
            <w:lang w:val="hu-HU"/>
          </w:rPr>
          <m:t>=</m:t>
        </m:r>
        <m:sSub>
          <m:sSubPr>
            <m:ctrlPr>
              <w:rPr>
                <w:rFonts w:ascii="Cambria Math" w:eastAsiaTheme="minorEastAsia" w:hAnsi="Cambria Math"/>
                <w:i/>
                <w:iCs/>
                <w:color w:val="000000" w:themeColor="text1"/>
                <w:kern w:val="24"/>
              </w:rPr>
            </m:ctrlPr>
          </m:sSubPr>
          <m:e>
            <m:f>
              <m:fPr>
                <m:ctrlPr>
                  <w:rPr>
                    <w:rFonts w:ascii="Cambria Math" w:eastAsiaTheme="minorEastAsia" w:hAnsi="Cambria Math"/>
                    <w:i/>
                    <w:iCs/>
                    <w:color w:val="000000" w:themeColor="text1"/>
                    <w:kern w:val="24"/>
                  </w:rPr>
                </m:ctrlPr>
              </m:fPr>
              <m:num>
                <m:r>
                  <w:rPr>
                    <w:rFonts w:ascii="Cambria Math" w:hAnsi="Cambria Math"/>
                    <w:color w:val="000000" w:themeColor="text1"/>
                    <w:kern w:val="24"/>
                    <w:lang w:val="hu-HU"/>
                  </w:rPr>
                  <m:t>(</m:t>
                </m:r>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lang w:val="hu-HU"/>
                      </w:rPr>
                      <m:t>Q</m:t>
                    </m:r>
                  </m:e>
                  <m:sub>
                    <m:r>
                      <w:rPr>
                        <w:rFonts w:ascii="Cambria Math" w:hAnsi="Cambria Math"/>
                        <w:color w:val="000000" w:themeColor="text1"/>
                        <w:kern w:val="24"/>
                        <w:lang w:val="hu-HU"/>
                      </w:rPr>
                      <m:t>2</m:t>
                    </m:r>
                  </m:sub>
                </m:sSub>
                <m:r>
                  <w:rPr>
                    <w:rFonts w:ascii="Cambria Math" w:hAnsi="Cambria Math"/>
                    <w:color w:val="000000" w:themeColor="text1"/>
                    <w:kern w:val="24"/>
                    <w:lang w:val="hu-HU"/>
                  </w:rPr>
                  <m:t>-</m:t>
                </m:r>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lang w:val="hu-HU"/>
                      </w:rPr>
                      <m:t>Q</m:t>
                    </m:r>
                  </m:e>
                  <m:sub>
                    <m:r>
                      <w:rPr>
                        <w:rFonts w:ascii="Cambria Math" w:hAnsi="Cambria Math"/>
                        <w:color w:val="000000" w:themeColor="text1"/>
                        <w:kern w:val="24"/>
                        <w:lang w:val="hu-HU"/>
                      </w:rPr>
                      <m:t>1</m:t>
                    </m:r>
                  </m:sub>
                </m:sSub>
                <m:r>
                  <w:rPr>
                    <w:rFonts w:ascii="Cambria Math" w:hAnsi="Cambria Math"/>
                    <w:color w:val="000000" w:themeColor="text1"/>
                    <w:kern w:val="24"/>
                    <w:lang w:val="hu-HU"/>
                  </w:rPr>
                  <m:t>-</m:t>
                </m:r>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lang w:val="hu-HU"/>
                      </w:rPr>
                      <m:t>i</m:t>
                    </m:r>
                  </m:e>
                  <m:sub>
                    <m:r>
                      <w:rPr>
                        <w:rFonts w:ascii="Cambria Math" w:hAnsi="Cambria Math"/>
                        <w:color w:val="000000" w:themeColor="text1"/>
                        <w:kern w:val="24"/>
                        <w:lang w:val="hu-HU"/>
                      </w:rPr>
                      <m:t>r2</m:t>
                    </m:r>
                  </m:sub>
                </m:sSub>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lang w:val="hu-HU"/>
                      </w:rPr>
                      <m:t>t</m:t>
                    </m:r>
                  </m:e>
                  <m:sub>
                    <m:r>
                      <w:rPr>
                        <w:rFonts w:ascii="Cambria Math" w:hAnsi="Cambria Math"/>
                        <w:color w:val="000000" w:themeColor="text1"/>
                        <w:kern w:val="24"/>
                        <w:lang w:val="hu-HU"/>
                      </w:rPr>
                      <m:t>2</m:t>
                    </m:r>
                  </m:sub>
                </m:sSub>
                <m:r>
                  <w:rPr>
                    <w:rFonts w:ascii="Cambria Math" w:hAnsi="Cambria Math"/>
                    <w:color w:val="000000" w:themeColor="text1"/>
                    <w:kern w:val="24"/>
                    <w:lang w:val="hu-HU"/>
                  </w:rPr>
                  <m:t>+</m:t>
                </m:r>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lang w:val="hu-HU"/>
                      </w:rPr>
                      <m:t>i</m:t>
                    </m:r>
                  </m:e>
                  <m:sub>
                    <m:r>
                      <w:rPr>
                        <w:rFonts w:ascii="Cambria Math" w:hAnsi="Cambria Math"/>
                        <w:color w:val="000000" w:themeColor="text1"/>
                        <w:kern w:val="24"/>
                        <w:lang w:val="hu-HU"/>
                      </w:rPr>
                      <m:t>r1</m:t>
                    </m:r>
                  </m:sub>
                </m:sSub>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lang w:val="hu-HU"/>
                      </w:rPr>
                      <m:t>t</m:t>
                    </m:r>
                  </m:e>
                  <m:sub>
                    <m:r>
                      <w:rPr>
                        <w:rFonts w:ascii="Cambria Math" w:hAnsi="Cambria Math"/>
                        <w:color w:val="000000" w:themeColor="text1"/>
                        <w:kern w:val="24"/>
                        <w:lang w:val="hu-HU"/>
                      </w:rPr>
                      <m:t>1</m:t>
                    </m:r>
                  </m:sub>
                </m:sSub>
                <m:r>
                  <w:rPr>
                    <w:rFonts w:ascii="Cambria Math" w:hAnsi="Cambria Math"/>
                    <w:color w:val="000000" w:themeColor="text1"/>
                    <w:kern w:val="24"/>
                    <w:lang w:val="hu-HU"/>
                  </w:rPr>
                  <m:t>)</m:t>
                </m:r>
              </m:num>
              <m:den>
                <m:r>
                  <w:rPr>
                    <w:rFonts w:ascii="Cambria Math" w:hAnsi="Cambria Math"/>
                    <w:color w:val="000000" w:themeColor="text1"/>
                    <w:kern w:val="24"/>
                    <w:lang w:val="hu-HU"/>
                  </w:rPr>
                  <m:t>nFf</m:t>
                </m:r>
              </m:den>
            </m:f>
            <m:r>
              <w:rPr>
                <w:rFonts w:ascii="Cambria Math" w:hAnsi="Cambria Math"/>
                <w:color w:val="000000" w:themeColor="text1"/>
                <w:kern w:val="24"/>
                <w:lang w:val="hu-HU"/>
              </w:rPr>
              <m:t>M</m:t>
            </m:r>
          </m:e>
          <m:sub>
            <m:r>
              <w:rPr>
                <w:rFonts w:ascii="Cambria Math" w:hAnsi="Cambria Math"/>
                <w:color w:val="000000" w:themeColor="text1"/>
                <w:kern w:val="24"/>
                <w:lang w:val="hu-HU"/>
              </w:rPr>
              <m:t>Pu</m:t>
            </m:r>
          </m:sub>
        </m:sSub>
      </m:oMath>
      <w:r w:rsidR="009E490A" w:rsidRPr="00A95E01">
        <w:rPr>
          <w:iCs/>
          <w:color w:val="000000" w:themeColor="text1"/>
          <w:kern w:val="24"/>
          <w:sz w:val="20"/>
          <w:szCs w:val="20"/>
          <w:lang w:val="hu-HU"/>
        </w:rPr>
        <w:tab/>
      </w:r>
      <w:r w:rsidR="009E490A" w:rsidRPr="00A95E01">
        <w:rPr>
          <w:iCs/>
          <w:color w:val="000000" w:themeColor="text1"/>
          <w:kern w:val="24"/>
          <w:lang w:val="hu-HU"/>
        </w:rPr>
        <w:tab/>
      </w:r>
      <w:r w:rsidR="009E490A" w:rsidRPr="00A95E01">
        <w:rPr>
          <w:iCs/>
          <w:color w:val="000000" w:themeColor="text1"/>
          <w:kern w:val="24"/>
          <w:lang w:val="hu-HU"/>
        </w:rPr>
        <w:tab/>
      </w:r>
      <w:r w:rsidR="00AB073E" w:rsidRPr="00A95E01">
        <w:rPr>
          <w:iCs/>
          <w:color w:val="000000" w:themeColor="text1"/>
          <w:kern w:val="24"/>
          <w:lang w:val="hu-HU"/>
        </w:rPr>
        <w:t>(10)</w:t>
      </w:r>
    </w:p>
    <w:p w:rsidR="00AB073E" w:rsidRPr="00A95E01" w:rsidRDefault="00AB073E" w:rsidP="009322C4">
      <w:pPr>
        <w:spacing w:line="360" w:lineRule="auto"/>
        <w:jc w:val="both"/>
      </w:pPr>
      <w:r w:rsidRPr="00A95E01">
        <w:t>The results of the five analyses are presented in Table 5 and compared to the reference mass of Pu (calculated from an equivalent mass of reference solution). The bias on the measurements (D%) is calculated from the difference between the experimental and reference values, as shown in Eq</w:t>
      </w:r>
      <w:r w:rsidR="009E490A" w:rsidRPr="00A95E01">
        <w:t>.</w:t>
      </w:r>
      <w:r w:rsidRPr="00A95E01">
        <w:t> </w:t>
      </w:r>
      <w:r w:rsidR="009E490A" w:rsidRPr="00A95E01">
        <w:t>(</w:t>
      </w:r>
      <w:r w:rsidRPr="00A95E01">
        <w:t>11</w:t>
      </w:r>
      <w:r w:rsidR="009E490A" w:rsidRPr="00A95E01">
        <w:t>)</w:t>
      </w:r>
      <w:r w:rsidRPr="00A95E01">
        <w:t>.</w:t>
      </w:r>
    </w:p>
    <w:p w:rsidR="00AB073E" w:rsidRPr="00A95E01" w:rsidRDefault="00AB073E" w:rsidP="009322C4">
      <w:pPr>
        <w:spacing w:line="360" w:lineRule="auto"/>
        <w:jc w:val="both"/>
      </w:pPr>
    </w:p>
    <w:p w:rsidR="00AB073E" w:rsidRPr="00A95E01" w:rsidRDefault="00AB073E" w:rsidP="009322C4">
      <w:pPr>
        <w:spacing w:line="360" w:lineRule="auto"/>
        <w:ind w:left="360"/>
        <w:jc w:val="center"/>
      </w:pPr>
      <m:oMath>
        <m:r>
          <w:rPr>
            <w:rFonts w:ascii="Cambria Math" w:hAnsi="Cambria Math"/>
          </w:rPr>
          <m:t>D</m:t>
        </m:r>
        <m:d>
          <m:dPr>
            <m:ctrlPr>
              <w:rPr>
                <w:rFonts w:ascii="Cambria Math" w:hAnsi="Cambria Math"/>
                <w:i/>
              </w:rPr>
            </m:ctrlPr>
          </m:dPr>
          <m:e>
            <m:r>
              <w:rPr>
                <w:rFonts w:ascii="Cambria Math" w:hAnsi="Cambria Math"/>
              </w:rPr>
              <m:t>%</m:t>
            </m:r>
          </m:e>
        </m:d>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exp</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ref</m:t>
                    </m:r>
                  </m:sub>
                </m:sSub>
              </m:e>
            </m:d>
          </m:num>
          <m:den>
            <m:sSub>
              <m:sSubPr>
                <m:ctrlPr>
                  <w:rPr>
                    <w:rFonts w:ascii="Cambria Math" w:hAnsi="Cambria Math"/>
                    <w:i/>
                  </w:rPr>
                </m:ctrlPr>
              </m:sSubPr>
              <m:e>
                <m:r>
                  <w:rPr>
                    <w:rFonts w:ascii="Cambria Math" w:hAnsi="Cambria Math"/>
                  </w:rPr>
                  <m:t>m</m:t>
                </m:r>
              </m:e>
              <m:sub>
                <m:r>
                  <w:rPr>
                    <w:rFonts w:ascii="Cambria Math" w:hAnsi="Cambria Math"/>
                  </w:rPr>
                  <m:t>ref</m:t>
                </m:r>
              </m:sub>
            </m:sSub>
          </m:den>
        </m:f>
      </m:oMath>
      <w:r w:rsidR="009E490A" w:rsidRPr="00A95E01">
        <w:tab/>
      </w:r>
      <w:r w:rsidR="009E490A" w:rsidRPr="00A95E01">
        <w:tab/>
      </w:r>
      <w:r w:rsidRPr="00A95E01">
        <w:t>(11)</w:t>
      </w:r>
    </w:p>
    <w:p w:rsidR="003A7986" w:rsidRPr="00A95E01" w:rsidRDefault="00AB073E" w:rsidP="003A7986">
      <w:pPr>
        <w:spacing w:line="360" w:lineRule="auto"/>
        <w:ind w:left="360"/>
        <w:jc w:val="center"/>
      </w:pPr>
      <w:r w:rsidRPr="00A95E01">
        <w:fldChar w:fldCharType="begin"/>
      </w:r>
      <w:r w:rsidRPr="00A95E01">
        <w:instrText xml:space="preserve"> LINK </w:instrText>
      </w:r>
      <w:r w:rsidR="003A7986" w:rsidRPr="00A95E01">
        <w:instrText xml:space="preserve">Excel.Sheet.12 "C:\\Users\\sp149420\\Desktop\\PubliCoulométrie\\Louis Faure Coulométrie\\ExplotationDonnéesStageLouisFaure\\Bilan des résultats coulométrie.xlsx" BilandosagePu_Publi!L1C12:L6C23 </w:instrText>
      </w:r>
      <w:r w:rsidRPr="00A95E01">
        <w:instrText xml:space="preserve">\a \f 4 \h  \* MERGEFORMAT </w:instrText>
      </w:r>
      <w:r w:rsidRPr="00A95E01">
        <w:fldChar w:fldCharType="separate"/>
      </w:r>
    </w:p>
    <w:tbl>
      <w:tblPr>
        <w:tblW w:w="9827" w:type="dxa"/>
        <w:jc w:val="center"/>
        <w:tblCellMar>
          <w:left w:w="70" w:type="dxa"/>
          <w:right w:w="70" w:type="dxa"/>
        </w:tblCellMar>
        <w:tblLook w:val="04A0" w:firstRow="1" w:lastRow="0" w:firstColumn="1" w:lastColumn="0" w:noHBand="0" w:noVBand="1"/>
      </w:tblPr>
      <w:tblGrid>
        <w:gridCol w:w="574"/>
        <w:gridCol w:w="563"/>
        <w:gridCol w:w="564"/>
        <w:gridCol w:w="567"/>
        <w:gridCol w:w="709"/>
        <w:gridCol w:w="709"/>
        <w:gridCol w:w="567"/>
        <w:gridCol w:w="1430"/>
        <w:gridCol w:w="890"/>
        <w:gridCol w:w="609"/>
        <w:gridCol w:w="904"/>
        <w:gridCol w:w="851"/>
        <w:gridCol w:w="1053"/>
      </w:tblGrid>
      <w:tr w:rsidR="001D32A9" w:rsidRPr="001D32A9" w:rsidTr="001D32A9">
        <w:trPr>
          <w:divId w:val="2048405374"/>
          <w:trHeight w:val="310"/>
          <w:jc w:val="center"/>
        </w:trPr>
        <w:tc>
          <w:tcPr>
            <w:tcW w:w="574" w:type="dxa"/>
            <w:tcBorders>
              <w:top w:val="single" w:sz="4" w:space="0" w:color="auto"/>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lastRenderedPageBreak/>
              <w:t>Exp</w:t>
            </w:r>
          </w:p>
        </w:tc>
        <w:tc>
          <w:tcPr>
            <w:tcW w:w="563" w:type="dxa"/>
            <w:tcBorders>
              <w:top w:val="single" w:sz="4" w:space="0" w:color="auto"/>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Q</w:t>
            </w:r>
            <w:r w:rsidRPr="001D32A9">
              <w:rPr>
                <w:sz w:val="20"/>
                <w:szCs w:val="20"/>
                <w:vertAlign w:val="subscript"/>
                <w:lang w:val="en-US" w:eastAsia="fr-FR"/>
              </w:rPr>
              <w:t>1</w:t>
            </w:r>
            <w:r w:rsidRPr="001D32A9">
              <w:rPr>
                <w:sz w:val="20"/>
                <w:szCs w:val="20"/>
                <w:lang w:val="en-US" w:eastAsia="fr-FR"/>
              </w:rPr>
              <w:t xml:space="preserve"> (mC)</w:t>
            </w:r>
          </w:p>
        </w:tc>
        <w:tc>
          <w:tcPr>
            <w:tcW w:w="564" w:type="dxa"/>
            <w:tcBorders>
              <w:top w:val="single" w:sz="4" w:space="0" w:color="auto"/>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I</w:t>
            </w:r>
            <w:r w:rsidRPr="001D32A9">
              <w:rPr>
                <w:sz w:val="20"/>
                <w:szCs w:val="20"/>
                <w:vertAlign w:val="subscript"/>
                <w:lang w:val="en-US" w:eastAsia="fr-FR"/>
              </w:rPr>
              <w:t>r1</w:t>
            </w:r>
            <w:r w:rsidRPr="001D32A9">
              <w:rPr>
                <w:sz w:val="20"/>
                <w:szCs w:val="20"/>
                <w:lang w:val="en-US" w:eastAsia="fr-FR"/>
              </w:rPr>
              <w:t xml:space="preserve">  (µA)</w:t>
            </w:r>
          </w:p>
        </w:tc>
        <w:tc>
          <w:tcPr>
            <w:tcW w:w="567" w:type="dxa"/>
            <w:tcBorders>
              <w:top w:val="single" w:sz="4" w:space="0" w:color="auto"/>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t</w:t>
            </w:r>
            <w:r w:rsidRPr="001D32A9">
              <w:rPr>
                <w:sz w:val="20"/>
                <w:szCs w:val="20"/>
                <w:vertAlign w:val="subscript"/>
                <w:lang w:val="en-US" w:eastAsia="fr-FR"/>
              </w:rPr>
              <w:t>1</w:t>
            </w:r>
            <w:r w:rsidRPr="001D32A9">
              <w:rPr>
                <w:sz w:val="20"/>
                <w:szCs w:val="20"/>
                <w:lang w:val="en-US" w:eastAsia="fr-FR"/>
              </w:rPr>
              <w:t xml:space="preserve">  (s)</w:t>
            </w:r>
          </w:p>
        </w:tc>
        <w:tc>
          <w:tcPr>
            <w:tcW w:w="709" w:type="dxa"/>
            <w:tcBorders>
              <w:top w:val="single" w:sz="4" w:space="0" w:color="auto"/>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Q</w:t>
            </w:r>
            <w:r w:rsidRPr="001D32A9">
              <w:rPr>
                <w:sz w:val="20"/>
                <w:szCs w:val="20"/>
                <w:vertAlign w:val="subscript"/>
                <w:lang w:val="en-US" w:eastAsia="fr-FR"/>
              </w:rPr>
              <w:t>2</w:t>
            </w:r>
            <w:r w:rsidRPr="001D32A9">
              <w:rPr>
                <w:sz w:val="20"/>
                <w:szCs w:val="20"/>
                <w:lang w:val="en-US" w:eastAsia="fr-FR"/>
              </w:rPr>
              <w:t xml:space="preserve"> (mC)</w:t>
            </w:r>
          </w:p>
        </w:tc>
        <w:tc>
          <w:tcPr>
            <w:tcW w:w="709" w:type="dxa"/>
            <w:tcBorders>
              <w:top w:val="single" w:sz="4" w:space="0" w:color="auto"/>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I</w:t>
            </w:r>
            <w:r w:rsidRPr="001D32A9">
              <w:rPr>
                <w:sz w:val="20"/>
                <w:szCs w:val="20"/>
                <w:vertAlign w:val="subscript"/>
                <w:lang w:val="en-US" w:eastAsia="fr-FR"/>
              </w:rPr>
              <w:t>r2</w:t>
            </w:r>
            <w:r w:rsidRPr="001D32A9">
              <w:rPr>
                <w:sz w:val="20"/>
                <w:szCs w:val="20"/>
                <w:lang w:val="en-US" w:eastAsia="fr-FR"/>
              </w:rPr>
              <w:t xml:space="preserve">  (µA)</w:t>
            </w:r>
          </w:p>
        </w:tc>
        <w:tc>
          <w:tcPr>
            <w:tcW w:w="567" w:type="dxa"/>
            <w:tcBorders>
              <w:top w:val="single" w:sz="4" w:space="0" w:color="auto"/>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t</w:t>
            </w:r>
            <w:r w:rsidRPr="001D32A9">
              <w:rPr>
                <w:sz w:val="20"/>
                <w:szCs w:val="20"/>
                <w:vertAlign w:val="subscript"/>
                <w:lang w:val="en-US" w:eastAsia="fr-FR"/>
              </w:rPr>
              <w:t>2</w:t>
            </w:r>
            <w:r w:rsidRPr="001D32A9">
              <w:rPr>
                <w:sz w:val="20"/>
                <w:szCs w:val="20"/>
                <w:lang w:val="en-US" w:eastAsia="fr-FR"/>
              </w:rPr>
              <w:t xml:space="preserve">  (s)</w:t>
            </w:r>
          </w:p>
        </w:tc>
        <w:tc>
          <w:tcPr>
            <w:tcW w:w="1267" w:type="dxa"/>
            <w:tcBorders>
              <w:top w:val="single" w:sz="4" w:space="0" w:color="auto"/>
              <w:left w:val="nil"/>
              <w:bottom w:val="single" w:sz="4" w:space="0" w:color="auto"/>
              <w:right w:val="nil"/>
            </w:tcBorders>
          </w:tcPr>
          <w:p w:rsidR="001D32A9" w:rsidRPr="001D32A9" w:rsidRDefault="001D32A9" w:rsidP="001D32A9">
            <w:pPr>
              <w:spacing w:line="360" w:lineRule="auto"/>
              <w:jc w:val="center"/>
              <w:rPr>
                <w:sz w:val="20"/>
                <w:szCs w:val="20"/>
                <w:lang w:val="fr-FR" w:eastAsia="fr-FR"/>
              </w:rPr>
            </w:pPr>
            <w:r w:rsidRPr="001D32A9">
              <w:rPr>
                <w:sz w:val="20"/>
                <w:szCs w:val="20"/>
                <w:lang w:val="fr-FR" w:eastAsia="fr-FR"/>
              </w:rPr>
              <w:t>E°'(Pu</w:t>
            </w:r>
            <w:r>
              <w:rPr>
                <w:sz w:val="20"/>
                <w:szCs w:val="20"/>
                <w:vertAlign w:val="superscript"/>
                <w:lang w:val="fr-FR" w:eastAsia="fr-FR"/>
              </w:rPr>
              <w:t>(IV)</w:t>
            </w:r>
            <w:r w:rsidRPr="001D32A9">
              <w:rPr>
                <w:sz w:val="20"/>
                <w:szCs w:val="20"/>
                <w:lang w:val="fr-FR" w:eastAsia="fr-FR"/>
              </w:rPr>
              <w:t>/Pu</w:t>
            </w:r>
            <w:r w:rsidRPr="001D32A9">
              <w:rPr>
                <w:sz w:val="20"/>
                <w:szCs w:val="20"/>
                <w:vertAlign w:val="superscript"/>
                <w:lang w:val="fr-FR" w:eastAsia="fr-FR"/>
              </w:rPr>
              <w:t>(III)</w:t>
            </w:r>
            <w:r w:rsidR="00774902">
              <w:rPr>
                <w:sz w:val="20"/>
                <w:szCs w:val="20"/>
                <w:lang w:val="fr-FR" w:eastAsia="fr-FR"/>
              </w:rPr>
              <w:t>)  (mV/SCE</w:t>
            </w:r>
            <w:r w:rsidRPr="001D32A9">
              <w:rPr>
                <w:sz w:val="20"/>
                <w:szCs w:val="20"/>
                <w:lang w:val="fr-FR" w:eastAsia="fr-FR"/>
              </w:rPr>
              <w:t>)</w:t>
            </w:r>
          </w:p>
        </w:tc>
        <w:tc>
          <w:tcPr>
            <w:tcW w:w="890" w:type="dxa"/>
            <w:tcBorders>
              <w:top w:val="single" w:sz="4" w:space="0" w:color="auto"/>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f</w:t>
            </w:r>
          </w:p>
        </w:tc>
        <w:tc>
          <w:tcPr>
            <w:tcW w:w="609" w:type="dxa"/>
            <w:tcBorders>
              <w:top w:val="single" w:sz="4" w:space="0" w:color="auto"/>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T(°C)</w:t>
            </w:r>
          </w:p>
        </w:tc>
        <w:tc>
          <w:tcPr>
            <w:tcW w:w="904" w:type="dxa"/>
            <w:tcBorders>
              <w:top w:val="single" w:sz="4" w:space="0" w:color="auto"/>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m</w:t>
            </w:r>
            <w:r w:rsidRPr="001D32A9">
              <w:rPr>
                <w:sz w:val="20"/>
                <w:szCs w:val="20"/>
                <w:vertAlign w:val="subscript"/>
                <w:lang w:val="en-US" w:eastAsia="fr-FR"/>
              </w:rPr>
              <w:t>Pu</w:t>
            </w:r>
            <w:r w:rsidRPr="001D32A9">
              <w:rPr>
                <w:sz w:val="20"/>
                <w:szCs w:val="20"/>
                <w:lang w:val="en-US" w:eastAsia="fr-FR"/>
              </w:rPr>
              <w:t xml:space="preserve"> ref. (mg)</w:t>
            </w:r>
          </w:p>
        </w:tc>
        <w:tc>
          <w:tcPr>
            <w:tcW w:w="851" w:type="dxa"/>
            <w:tcBorders>
              <w:top w:val="single" w:sz="4" w:space="0" w:color="auto"/>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m</w:t>
            </w:r>
            <w:r w:rsidRPr="001D32A9">
              <w:rPr>
                <w:sz w:val="20"/>
                <w:szCs w:val="20"/>
                <w:vertAlign w:val="subscript"/>
                <w:lang w:val="en-US" w:eastAsia="fr-FR"/>
              </w:rPr>
              <w:t>Pu</w:t>
            </w:r>
            <w:r w:rsidRPr="001D32A9">
              <w:rPr>
                <w:sz w:val="20"/>
                <w:szCs w:val="20"/>
                <w:lang w:val="en-US" w:eastAsia="fr-FR"/>
              </w:rPr>
              <w:t xml:space="preserve"> exp. (mg)</w:t>
            </w:r>
          </w:p>
        </w:tc>
        <w:tc>
          <w:tcPr>
            <w:tcW w:w="1053" w:type="dxa"/>
            <w:tcBorders>
              <w:top w:val="single" w:sz="4" w:space="0" w:color="auto"/>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D(%)</w:t>
            </w:r>
          </w:p>
        </w:tc>
      </w:tr>
      <w:tr w:rsidR="001D32A9" w:rsidRPr="001D32A9" w:rsidTr="001D32A9">
        <w:trPr>
          <w:divId w:val="2048405374"/>
          <w:trHeight w:val="310"/>
          <w:jc w:val="center"/>
        </w:trPr>
        <w:tc>
          <w:tcPr>
            <w:tcW w:w="574" w:type="dxa"/>
            <w:tcBorders>
              <w:top w:val="single" w:sz="4" w:space="0" w:color="auto"/>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LF04</w:t>
            </w:r>
          </w:p>
        </w:tc>
        <w:tc>
          <w:tcPr>
            <w:tcW w:w="563" w:type="dxa"/>
            <w:tcBorders>
              <w:top w:val="single" w:sz="4" w:space="0" w:color="auto"/>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11.0</w:t>
            </w:r>
          </w:p>
        </w:tc>
        <w:tc>
          <w:tcPr>
            <w:tcW w:w="564" w:type="dxa"/>
            <w:tcBorders>
              <w:top w:val="single" w:sz="4" w:space="0" w:color="auto"/>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3.0</w:t>
            </w:r>
          </w:p>
        </w:tc>
        <w:tc>
          <w:tcPr>
            <w:tcW w:w="567" w:type="dxa"/>
            <w:tcBorders>
              <w:top w:val="single" w:sz="4" w:space="0" w:color="auto"/>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410</w:t>
            </w:r>
          </w:p>
        </w:tc>
        <w:tc>
          <w:tcPr>
            <w:tcW w:w="709" w:type="dxa"/>
            <w:tcBorders>
              <w:top w:val="single" w:sz="4" w:space="0" w:color="auto"/>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2553.2</w:t>
            </w:r>
          </w:p>
        </w:tc>
        <w:tc>
          <w:tcPr>
            <w:tcW w:w="709" w:type="dxa"/>
            <w:tcBorders>
              <w:top w:val="single" w:sz="4" w:space="0" w:color="auto"/>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4.0</w:t>
            </w:r>
          </w:p>
        </w:tc>
        <w:tc>
          <w:tcPr>
            <w:tcW w:w="567" w:type="dxa"/>
            <w:tcBorders>
              <w:top w:val="single" w:sz="4" w:space="0" w:color="auto"/>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865</w:t>
            </w:r>
          </w:p>
        </w:tc>
        <w:tc>
          <w:tcPr>
            <w:tcW w:w="1267" w:type="dxa"/>
            <w:tcBorders>
              <w:top w:val="single" w:sz="4" w:space="0" w:color="auto"/>
              <w:left w:val="nil"/>
              <w:bottom w:val="nil"/>
              <w:right w:val="nil"/>
            </w:tcBorders>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668.3</w:t>
            </w:r>
          </w:p>
        </w:tc>
        <w:tc>
          <w:tcPr>
            <w:tcW w:w="890" w:type="dxa"/>
            <w:tcBorders>
              <w:top w:val="single" w:sz="4" w:space="0" w:color="auto"/>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0.999739</w:t>
            </w:r>
          </w:p>
        </w:tc>
        <w:tc>
          <w:tcPr>
            <w:tcW w:w="609" w:type="dxa"/>
            <w:tcBorders>
              <w:top w:val="single" w:sz="4" w:space="0" w:color="auto"/>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23.9</w:t>
            </w:r>
          </w:p>
        </w:tc>
        <w:tc>
          <w:tcPr>
            <w:tcW w:w="904" w:type="dxa"/>
            <w:tcBorders>
              <w:top w:val="single" w:sz="4" w:space="0" w:color="auto"/>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6.29319</w:t>
            </w:r>
          </w:p>
        </w:tc>
        <w:tc>
          <w:tcPr>
            <w:tcW w:w="851" w:type="dxa"/>
            <w:tcBorders>
              <w:top w:val="single" w:sz="4" w:space="0" w:color="auto"/>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6.29518</w:t>
            </w:r>
          </w:p>
        </w:tc>
        <w:tc>
          <w:tcPr>
            <w:tcW w:w="1053" w:type="dxa"/>
            <w:tcBorders>
              <w:top w:val="single" w:sz="4" w:space="0" w:color="auto"/>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0.032%</w:t>
            </w:r>
          </w:p>
        </w:tc>
      </w:tr>
      <w:tr w:rsidR="001D32A9" w:rsidRPr="001D32A9" w:rsidTr="001D32A9">
        <w:trPr>
          <w:divId w:val="2048405374"/>
          <w:trHeight w:val="310"/>
          <w:jc w:val="center"/>
        </w:trPr>
        <w:tc>
          <w:tcPr>
            <w:tcW w:w="574"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LF05</w:t>
            </w:r>
          </w:p>
        </w:tc>
        <w:tc>
          <w:tcPr>
            <w:tcW w:w="563"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10.4</w:t>
            </w:r>
          </w:p>
        </w:tc>
        <w:tc>
          <w:tcPr>
            <w:tcW w:w="564"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2.6</w:t>
            </w:r>
          </w:p>
        </w:tc>
        <w:tc>
          <w:tcPr>
            <w:tcW w:w="567"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431</w:t>
            </w:r>
          </w:p>
        </w:tc>
        <w:tc>
          <w:tcPr>
            <w:tcW w:w="709"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2546.6</w:t>
            </w:r>
          </w:p>
        </w:tc>
        <w:tc>
          <w:tcPr>
            <w:tcW w:w="709"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4.5</w:t>
            </w:r>
          </w:p>
        </w:tc>
        <w:tc>
          <w:tcPr>
            <w:tcW w:w="567"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908</w:t>
            </w:r>
          </w:p>
        </w:tc>
        <w:tc>
          <w:tcPr>
            <w:tcW w:w="1267" w:type="dxa"/>
            <w:tcBorders>
              <w:top w:val="nil"/>
              <w:left w:val="nil"/>
              <w:bottom w:val="nil"/>
              <w:right w:val="nil"/>
            </w:tcBorders>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668.3</w:t>
            </w:r>
          </w:p>
        </w:tc>
        <w:tc>
          <w:tcPr>
            <w:tcW w:w="890"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0.999735</w:t>
            </w:r>
          </w:p>
        </w:tc>
        <w:tc>
          <w:tcPr>
            <w:tcW w:w="609"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24.3</w:t>
            </w:r>
          </w:p>
        </w:tc>
        <w:tc>
          <w:tcPr>
            <w:tcW w:w="904"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6.28324</w:t>
            </w:r>
          </w:p>
        </w:tc>
        <w:tc>
          <w:tcPr>
            <w:tcW w:w="851"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6.27852</w:t>
            </w:r>
          </w:p>
        </w:tc>
        <w:tc>
          <w:tcPr>
            <w:tcW w:w="1053"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-0.075%</w:t>
            </w:r>
          </w:p>
        </w:tc>
      </w:tr>
      <w:tr w:rsidR="001D32A9" w:rsidRPr="001D32A9" w:rsidTr="001D32A9">
        <w:trPr>
          <w:divId w:val="2048405374"/>
          <w:trHeight w:val="310"/>
          <w:jc w:val="center"/>
        </w:trPr>
        <w:tc>
          <w:tcPr>
            <w:tcW w:w="574"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LF06</w:t>
            </w:r>
          </w:p>
        </w:tc>
        <w:tc>
          <w:tcPr>
            <w:tcW w:w="563"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9.3</w:t>
            </w:r>
          </w:p>
        </w:tc>
        <w:tc>
          <w:tcPr>
            <w:tcW w:w="564"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2.9</w:t>
            </w:r>
          </w:p>
        </w:tc>
        <w:tc>
          <w:tcPr>
            <w:tcW w:w="567"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381</w:t>
            </w:r>
          </w:p>
        </w:tc>
        <w:tc>
          <w:tcPr>
            <w:tcW w:w="709"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2561.6</w:t>
            </w:r>
          </w:p>
        </w:tc>
        <w:tc>
          <w:tcPr>
            <w:tcW w:w="709"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4.8</w:t>
            </w:r>
          </w:p>
        </w:tc>
        <w:tc>
          <w:tcPr>
            <w:tcW w:w="567"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798</w:t>
            </w:r>
          </w:p>
        </w:tc>
        <w:tc>
          <w:tcPr>
            <w:tcW w:w="1267" w:type="dxa"/>
            <w:tcBorders>
              <w:top w:val="nil"/>
              <w:left w:val="nil"/>
              <w:bottom w:val="nil"/>
              <w:right w:val="nil"/>
            </w:tcBorders>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670.8</w:t>
            </w:r>
          </w:p>
        </w:tc>
        <w:tc>
          <w:tcPr>
            <w:tcW w:w="890"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0.999742</w:t>
            </w:r>
          </w:p>
        </w:tc>
        <w:tc>
          <w:tcPr>
            <w:tcW w:w="609"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24.0</w:t>
            </w:r>
          </w:p>
        </w:tc>
        <w:tc>
          <w:tcPr>
            <w:tcW w:w="904"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6.31678</w:t>
            </w:r>
          </w:p>
        </w:tc>
        <w:tc>
          <w:tcPr>
            <w:tcW w:w="851"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6.31913</w:t>
            </w:r>
          </w:p>
        </w:tc>
        <w:tc>
          <w:tcPr>
            <w:tcW w:w="1053" w:type="dxa"/>
            <w:tcBorders>
              <w:top w:val="nil"/>
              <w:left w:val="nil"/>
              <w:bottom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0.037%</w:t>
            </w:r>
          </w:p>
        </w:tc>
      </w:tr>
      <w:tr w:rsidR="001D32A9" w:rsidRPr="001D32A9" w:rsidTr="001D32A9">
        <w:trPr>
          <w:divId w:val="2048405374"/>
          <w:trHeight w:val="310"/>
          <w:jc w:val="center"/>
        </w:trPr>
        <w:tc>
          <w:tcPr>
            <w:tcW w:w="574" w:type="dxa"/>
            <w:tcBorders>
              <w:top w:val="nil"/>
              <w:left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LF07</w:t>
            </w:r>
          </w:p>
        </w:tc>
        <w:tc>
          <w:tcPr>
            <w:tcW w:w="563" w:type="dxa"/>
            <w:tcBorders>
              <w:top w:val="nil"/>
              <w:left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12.7</w:t>
            </w:r>
          </w:p>
        </w:tc>
        <w:tc>
          <w:tcPr>
            <w:tcW w:w="564" w:type="dxa"/>
            <w:tcBorders>
              <w:top w:val="nil"/>
              <w:left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1.6</w:t>
            </w:r>
          </w:p>
        </w:tc>
        <w:tc>
          <w:tcPr>
            <w:tcW w:w="567" w:type="dxa"/>
            <w:tcBorders>
              <w:top w:val="nil"/>
              <w:left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461</w:t>
            </w:r>
          </w:p>
        </w:tc>
        <w:tc>
          <w:tcPr>
            <w:tcW w:w="709" w:type="dxa"/>
            <w:tcBorders>
              <w:top w:val="nil"/>
              <w:left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2554.5</w:t>
            </w:r>
          </w:p>
        </w:tc>
        <w:tc>
          <w:tcPr>
            <w:tcW w:w="709" w:type="dxa"/>
            <w:tcBorders>
              <w:top w:val="nil"/>
              <w:left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2.8</w:t>
            </w:r>
          </w:p>
        </w:tc>
        <w:tc>
          <w:tcPr>
            <w:tcW w:w="567" w:type="dxa"/>
            <w:tcBorders>
              <w:top w:val="nil"/>
              <w:left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914</w:t>
            </w:r>
          </w:p>
        </w:tc>
        <w:tc>
          <w:tcPr>
            <w:tcW w:w="1267" w:type="dxa"/>
            <w:tcBorders>
              <w:top w:val="nil"/>
              <w:left w:val="nil"/>
              <w:right w:val="nil"/>
            </w:tcBorders>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673.4</w:t>
            </w:r>
          </w:p>
        </w:tc>
        <w:tc>
          <w:tcPr>
            <w:tcW w:w="890" w:type="dxa"/>
            <w:tcBorders>
              <w:top w:val="nil"/>
              <w:left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0.999741</w:t>
            </w:r>
          </w:p>
        </w:tc>
        <w:tc>
          <w:tcPr>
            <w:tcW w:w="609" w:type="dxa"/>
            <w:tcBorders>
              <w:top w:val="nil"/>
              <w:left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24.3</w:t>
            </w:r>
          </w:p>
        </w:tc>
        <w:tc>
          <w:tcPr>
            <w:tcW w:w="904" w:type="dxa"/>
            <w:tcBorders>
              <w:top w:val="nil"/>
              <w:left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6.30111</w:t>
            </w:r>
          </w:p>
        </w:tc>
        <w:tc>
          <w:tcPr>
            <w:tcW w:w="851" w:type="dxa"/>
            <w:tcBorders>
              <w:top w:val="nil"/>
              <w:left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6.29521</w:t>
            </w:r>
          </w:p>
        </w:tc>
        <w:tc>
          <w:tcPr>
            <w:tcW w:w="1053" w:type="dxa"/>
            <w:tcBorders>
              <w:top w:val="nil"/>
              <w:left w:val="nil"/>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-0.094%</w:t>
            </w:r>
          </w:p>
        </w:tc>
      </w:tr>
      <w:tr w:rsidR="001D32A9" w:rsidRPr="001D32A9" w:rsidTr="001D32A9">
        <w:trPr>
          <w:divId w:val="2048405374"/>
          <w:trHeight w:val="310"/>
          <w:jc w:val="center"/>
        </w:trPr>
        <w:tc>
          <w:tcPr>
            <w:tcW w:w="574" w:type="dxa"/>
            <w:tcBorders>
              <w:top w:val="nil"/>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LF08</w:t>
            </w:r>
          </w:p>
        </w:tc>
        <w:tc>
          <w:tcPr>
            <w:tcW w:w="563" w:type="dxa"/>
            <w:tcBorders>
              <w:top w:val="nil"/>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9.7</w:t>
            </w:r>
          </w:p>
        </w:tc>
        <w:tc>
          <w:tcPr>
            <w:tcW w:w="564" w:type="dxa"/>
            <w:tcBorders>
              <w:top w:val="nil"/>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2.3</w:t>
            </w:r>
          </w:p>
        </w:tc>
        <w:tc>
          <w:tcPr>
            <w:tcW w:w="567" w:type="dxa"/>
            <w:tcBorders>
              <w:top w:val="nil"/>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372</w:t>
            </w:r>
          </w:p>
        </w:tc>
        <w:tc>
          <w:tcPr>
            <w:tcW w:w="709" w:type="dxa"/>
            <w:tcBorders>
              <w:top w:val="nil"/>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2551.2</w:t>
            </w:r>
          </w:p>
        </w:tc>
        <w:tc>
          <w:tcPr>
            <w:tcW w:w="709" w:type="dxa"/>
            <w:tcBorders>
              <w:top w:val="nil"/>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3.7</w:t>
            </w:r>
          </w:p>
        </w:tc>
        <w:tc>
          <w:tcPr>
            <w:tcW w:w="567" w:type="dxa"/>
            <w:tcBorders>
              <w:top w:val="nil"/>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834</w:t>
            </w:r>
          </w:p>
        </w:tc>
        <w:tc>
          <w:tcPr>
            <w:tcW w:w="1267" w:type="dxa"/>
            <w:tcBorders>
              <w:top w:val="nil"/>
              <w:left w:val="nil"/>
              <w:bottom w:val="single" w:sz="4" w:space="0" w:color="auto"/>
              <w:right w:val="nil"/>
            </w:tcBorders>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672.9</w:t>
            </w:r>
          </w:p>
        </w:tc>
        <w:tc>
          <w:tcPr>
            <w:tcW w:w="890" w:type="dxa"/>
            <w:tcBorders>
              <w:top w:val="nil"/>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0.999737</w:t>
            </w:r>
          </w:p>
        </w:tc>
        <w:tc>
          <w:tcPr>
            <w:tcW w:w="609" w:type="dxa"/>
            <w:tcBorders>
              <w:top w:val="nil"/>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24.9</w:t>
            </w:r>
          </w:p>
        </w:tc>
        <w:tc>
          <w:tcPr>
            <w:tcW w:w="904" w:type="dxa"/>
            <w:tcBorders>
              <w:top w:val="nil"/>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6.29828</w:t>
            </w:r>
          </w:p>
        </w:tc>
        <w:tc>
          <w:tcPr>
            <w:tcW w:w="851" w:type="dxa"/>
            <w:tcBorders>
              <w:top w:val="nil"/>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6.29357</w:t>
            </w:r>
          </w:p>
        </w:tc>
        <w:tc>
          <w:tcPr>
            <w:tcW w:w="1053" w:type="dxa"/>
            <w:tcBorders>
              <w:top w:val="nil"/>
              <w:left w:val="nil"/>
              <w:bottom w:val="single" w:sz="4" w:space="0" w:color="auto"/>
              <w:right w:val="nil"/>
            </w:tcBorders>
            <w:shd w:val="clear" w:color="auto" w:fill="auto"/>
            <w:noWrap/>
            <w:vAlign w:val="center"/>
            <w:hideMark/>
          </w:tcPr>
          <w:p w:rsidR="001D32A9" w:rsidRPr="001D32A9" w:rsidRDefault="001D32A9" w:rsidP="001D32A9">
            <w:pPr>
              <w:spacing w:line="360" w:lineRule="auto"/>
              <w:jc w:val="center"/>
              <w:rPr>
                <w:sz w:val="20"/>
                <w:szCs w:val="20"/>
                <w:lang w:val="en-US" w:eastAsia="fr-FR"/>
              </w:rPr>
            </w:pPr>
            <w:r w:rsidRPr="001D32A9">
              <w:rPr>
                <w:sz w:val="20"/>
                <w:szCs w:val="20"/>
                <w:lang w:val="en-US" w:eastAsia="fr-FR"/>
              </w:rPr>
              <w:t>-0.075%</w:t>
            </w:r>
          </w:p>
        </w:tc>
      </w:tr>
    </w:tbl>
    <w:p w:rsidR="00AB073E" w:rsidRPr="00A95E01" w:rsidRDefault="00AB073E" w:rsidP="009A274C">
      <w:pPr>
        <w:spacing w:line="360" w:lineRule="auto"/>
        <w:ind w:left="360"/>
        <w:jc w:val="both"/>
      </w:pPr>
      <w:r w:rsidRPr="00A95E01">
        <w:rPr>
          <w:sz w:val="16"/>
          <w:szCs w:val="16"/>
        </w:rPr>
        <w:fldChar w:fldCharType="end"/>
      </w:r>
      <w:r w:rsidR="009E490A" w:rsidRPr="00A95E01">
        <w:rPr>
          <w:b/>
        </w:rPr>
        <w:t>Table 5</w:t>
      </w:r>
      <w:r w:rsidRPr="00A95E01">
        <w:t xml:space="preserve"> Results, experimental parameters, and calculated bias for the experimental determination of Pu mass for EQRAIN Pu 14 standard samples by CPC</w:t>
      </w:r>
    </w:p>
    <w:p w:rsidR="00AB073E" w:rsidRPr="00A95E01" w:rsidRDefault="00AB073E" w:rsidP="009322C4">
      <w:pPr>
        <w:spacing w:line="360" w:lineRule="auto"/>
        <w:jc w:val="both"/>
      </w:pPr>
      <w:r w:rsidRPr="00A95E01">
        <w:t xml:space="preserve">It can be seen in Table 5 that a bias of less than 0.1% was observed for individual results. This low bias is consistent with the expected performances of CPC </w:t>
      </w:r>
      <w:r w:rsidR="009A274C" w:rsidRPr="00A95E01">
        <w:t>[4,5]</w:t>
      </w:r>
      <w:r w:rsidRPr="00A95E01">
        <w:t>.</w:t>
      </w:r>
    </w:p>
    <w:p w:rsidR="00AB073E" w:rsidRPr="00A95E01" w:rsidRDefault="00AB073E" w:rsidP="009A274C">
      <w:pPr>
        <w:pStyle w:val="JRNCBody"/>
        <w:rPr>
          <w:lang w:val="en-US"/>
        </w:rPr>
      </w:pPr>
      <w:r w:rsidRPr="00A95E01">
        <w:rPr>
          <w:sz w:val="28"/>
          <w:szCs w:val="24"/>
          <w:lang w:val="en-US"/>
        </w:rPr>
        <w:t>Uncertainty calculations according to GUM</w:t>
      </w:r>
    </w:p>
    <w:p w:rsidR="00AB073E" w:rsidRPr="00A95E01" w:rsidRDefault="00AB073E" w:rsidP="009322C4">
      <w:pPr>
        <w:spacing w:line="360" w:lineRule="auto"/>
        <w:jc w:val="both"/>
      </w:pPr>
      <w:r w:rsidRPr="00A95E01">
        <w:t xml:space="preserve">The Pu mass fraction [Pu] (in g/kg) in the analyzed samples was determined by the ratio between the experimental mass of Pu, </w:t>
      </w:r>
      <w:r w:rsidRPr="00A95E01">
        <w:rPr>
          <w:i/>
        </w:rPr>
        <w:t>m</w:t>
      </w:r>
      <w:r w:rsidRPr="00A95E01">
        <w:rPr>
          <w:i/>
          <w:vertAlign w:val="subscript"/>
        </w:rPr>
        <w:t>Pu</w:t>
      </w:r>
      <w:r w:rsidRPr="00A95E01">
        <w:t xml:space="preserve">, and the weight of diluted solution (corresponding to the mass of sample corrected for air buoyancy, </w:t>
      </w:r>
      <w:r w:rsidRPr="00A95E01">
        <w:rPr>
          <w:i/>
        </w:rPr>
        <w:t>m</w:t>
      </w:r>
      <w:r w:rsidRPr="00A95E01">
        <w:rPr>
          <w:i/>
          <w:vertAlign w:val="subscript"/>
        </w:rPr>
        <w:t>sample</w:t>
      </w:r>
      <w:r w:rsidRPr="00A95E01">
        <w:t xml:space="preserve">) divided by the dilution factor </w:t>
      </w:r>
      <w:r w:rsidRPr="00A95E01">
        <w:rPr>
          <w:i/>
        </w:rPr>
        <w:t>DF</w:t>
      </w:r>
      <w:r w:rsidRPr="00A95E01">
        <w:t>. From this, the Pu mass fraction can be expressed as shown in Eq</w:t>
      </w:r>
      <w:r w:rsidR="009A274C" w:rsidRPr="00A95E01">
        <w:t>.</w:t>
      </w:r>
      <w:r w:rsidRPr="00A95E01">
        <w:t xml:space="preserve"> </w:t>
      </w:r>
      <w:r w:rsidR="009A274C" w:rsidRPr="00A95E01">
        <w:t>(</w:t>
      </w:r>
      <w:r w:rsidRPr="00A95E01">
        <w:t>12</w:t>
      </w:r>
      <w:r w:rsidR="009A274C" w:rsidRPr="00A95E01">
        <w:t>)</w:t>
      </w:r>
      <w:r w:rsidRPr="00A95E01">
        <w:t>.</w:t>
      </w:r>
    </w:p>
    <w:p w:rsidR="00AB073E" w:rsidRPr="00A95E01" w:rsidRDefault="00257004" w:rsidP="009322C4">
      <w:pPr>
        <w:spacing w:line="360" w:lineRule="auto"/>
        <w:ind w:left="360"/>
        <w:jc w:val="center"/>
      </w:pPr>
      <m:oMath>
        <m:d>
          <m:dPr>
            <m:begChr m:val="["/>
            <m:endChr m:val="]"/>
            <m:ctrlPr>
              <w:rPr>
                <w:rFonts w:ascii="Cambria Math" w:hAnsi="Cambria Math"/>
                <w:i/>
                <w:color w:val="000000" w:themeColor="text1"/>
                <w:kern w:val="24"/>
              </w:rPr>
            </m:ctrlPr>
          </m:dPr>
          <m:e>
            <m:r>
              <w:rPr>
                <w:rFonts w:ascii="Cambria Math" w:hAnsi="Cambria Math"/>
                <w:color w:val="000000" w:themeColor="text1"/>
                <w:kern w:val="24"/>
              </w:rPr>
              <m:t>Pu</m:t>
            </m:r>
          </m:e>
        </m:d>
        <m:r>
          <w:rPr>
            <w:rFonts w:ascii="Cambria Math" w:hAnsi="Cambria Math"/>
            <w:color w:val="000000" w:themeColor="text1"/>
            <w:kern w:val="24"/>
          </w:rPr>
          <m:t>=</m:t>
        </m:r>
        <m:f>
          <m:fPr>
            <m:ctrlPr>
              <w:rPr>
                <w:rFonts w:ascii="Cambria Math" w:hAnsi="Cambria Math"/>
                <w:i/>
                <w:iCs/>
                <w:color w:val="000000" w:themeColor="text1"/>
                <w:kern w:val="24"/>
              </w:rPr>
            </m:ctrlPr>
          </m:fPr>
          <m:num>
            <m:sSub>
              <m:sSubPr>
                <m:ctrlPr>
                  <w:rPr>
                    <w:rFonts w:ascii="Cambria Math" w:hAnsi="Cambria Math"/>
                    <w:i/>
                    <w:iCs/>
                    <w:color w:val="000000" w:themeColor="text1"/>
                    <w:kern w:val="24"/>
                  </w:rPr>
                </m:ctrlPr>
              </m:sSubPr>
              <m:e>
                <m:r>
                  <w:rPr>
                    <w:rFonts w:ascii="Cambria Math" w:hAnsi="Cambria Math"/>
                    <w:color w:val="000000" w:themeColor="text1"/>
                    <w:kern w:val="24"/>
                  </w:rPr>
                  <m:t>m</m:t>
                </m:r>
              </m:e>
              <m:sub>
                <m:r>
                  <w:rPr>
                    <w:rFonts w:ascii="Cambria Math" w:hAnsi="Cambria Math"/>
                    <w:color w:val="000000" w:themeColor="text1"/>
                    <w:kern w:val="24"/>
                  </w:rPr>
                  <m:t>Pu</m:t>
                </m:r>
              </m:sub>
            </m:sSub>
          </m:num>
          <m:den>
            <m:sSub>
              <m:sSubPr>
                <m:ctrlPr>
                  <w:rPr>
                    <w:rFonts w:ascii="Cambria Math" w:hAnsi="Cambria Math"/>
                    <w:i/>
                    <w:iCs/>
                    <w:color w:val="000000" w:themeColor="text1"/>
                    <w:kern w:val="24"/>
                  </w:rPr>
                </m:ctrlPr>
              </m:sSubPr>
              <m:e>
                <m:r>
                  <w:rPr>
                    <w:rFonts w:ascii="Cambria Math" w:hAnsi="Cambria Math"/>
                    <w:color w:val="000000" w:themeColor="text1"/>
                    <w:kern w:val="24"/>
                  </w:rPr>
                  <m:t>m</m:t>
                </m:r>
              </m:e>
              <m:sub>
                <m:r>
                  <w:rPr>
                    <w:rFonts w:ascii="Cambria Math" w:hAnsi="Cambria Math"/>
                    <w:color w:val="000000" w:themeColor="text1"/>
                    <w:kern w:val="24"/>
                  </w:rPr>
                  <m:t>sample</m:t>
                </m:r>
              </m:sub>
            </m:sSub>
          </m:den>
        </m:f>
        <m:r>
          <w:rPr>
            <w:rFonts w:ascii="Cambria Math" w:hAnsi="Cambria Math"/>
            <w:color w:val="000000" w:themeColor="text1"/>
            <w:kern w:val="24"/>
          </w:rPr>
          <m:t>DF=</m:t>
        </m:r>
        <m:f>
          <m:fPr>
            <m:ctrlPr>
              <w:rPr>
                <w:rFonts w:ascii="Cambria Math" w:eastAsiaTheme="minorEastAsia" w:hAnsi="Cambria Math"/>
                <w:i/>
                <w:iCs/>
                <w:color w:val="000000" w:themeColor="text1"/>
                <w:kern w:val="24"/>
              </w:rPr>
            </m:ctrlPr>
          </m:fPr>
          <m:num>
            <m:r>
              <w:rPr>
                <w:rFonts w:ascii="Cambria Math" w:hAnsi="Cambria Math"/>
                <w:color w:val="000000" w:themeColor="text1"/>
                <w:kern w:val="24"/>
              </w:rPr>
              <m:t>Q</m:t>
            </m:r>
          </m:num>
          <m:den>
            <m:r>
              <w:rPr>
                <w:rFonts w:ascii="Cambria Math" w:hAnsi="Cambria Math"/>
                <w:color w:val="000000" w:themeColor="text1"/>
                <w:kern w:val="24"/>
              </w:rPr>
              <m:t>nFf</m:t>
            </m:r>
          </m:den>
        </m:f>
        <m:f>
          <m:fPr>
            <m:ctrlPr>
              <w:rPr>
                <w:rFonts w:ascii="Cambria Math" w:hAnsi="Cambria Math"/>
                <w:i/>
                <w:iCs/>
                <w:color w:val="000000" w:themeColor="text1"/>
                <w:kern w:val="24"/>
              </w:rPr>
            </m:ctrlPr>
          </m:fPr>
          <m:num>
            <m:sSub>
              <m:sSubPr>
                <m:ctrlPr>
                  <w:rPr>
                    <w:rFonts w:ascii="Cambria Math" w:hAnsi="Cambria Math"/>
                    <w:i/>
                    <w:iCs/>
                    <w:color w:val="000000" w:themeColor="text1"/>
                    <w:kern w:val="24"/>
                  </w:rPr>
                </m:ctrlPr>
              </m:sSubPr>
              <m:e>
                <m:r>
                  <w:rPr>
                    <w:rFonts w:ascii="Cambria Math" w:hAnsi="Cambria Math"/>
                    <w:color w:val="000000" w:themeColor="text1"/>
                    <w:kern w:val="24"/>
                  </w:rPr>
                  <m:t>M</m:t>
                </m:r>
              </m:e>
              <m:sub>
                <m:r>
                  <w:rPr>
                    <w:rFonts w:ascii="Cambria Math" w:hAnsi="Cambria Math"/>
                    <w:color w:val="000000" w:themeColor="text1"/>
                    <w:kern w:val="24"/>
                  </w:rPr>
                  <m:t>Pu</m:t>
                </m:r>
              </m:sub>
            </m:sSub>
          </m:num>
          <m:den>
            <m:sSub>
              <m:sSubPr>
                <m:ctrlPr>
                  <w:rPr>
                    <w:rFonts w:ascii="Cambria Math" w:hAnsi="Cambria Math"/>
                    <w:i/>
                    <w:iCs/>
                    <w:color w:val="000000" w:themeColor="text1"/>
                    <w:kern w:val="24"/>
                  </w:rPr>
                </m:ctrlPr>
              </m:sSubPr>
              <m:e>
                <m:r>
                  <w:rPr>
                    <w:rFonts w:ascii="Cambria Math" w:hAnsi="Cambria Math"/>
                    <w:color w:val="000000" w:themeColor="text1"/>
                    <w:kern w:val="24"/>
                  </w:rPr>
                  <m:t>m</m:t>
                </m:r>
              </m:e>
              <m:sub>
                <m:r>
                  <w:rPr>
                    <w:rFonts w:ascii="Cambria Math" w:hAnsi="Cambria Math"/>
                    <w:color w:val="000000" w:themeColor="text1"/>
                    <w:kern w:val="24"/>
                  </w:rPr>
                  <m:t>sample</m:t>
                </m:r>
              </m:sub>
            </m:sSub>
          </m:den>
        </m:f>
        <m:r>
          <w:rPr>
            <w:rFonts w:ascii="Cambria Math" w:hAnsi="Cambria Math"/>
            <w:color w:val="000000" w:themeColor="text1"/>
            <w:kern w:val="24"/>
          </w:rPr>
          <m:t>DF</m:t>
        </m:r>
      </m:oMath>
      <w:r w:rsidR="009A274C" w:rsidRPr="00A95E01">
        <w:rPr>
          <w:iCs/>
          <w:color w:val="000000" w:themeColor="text1"/>
          <w:kern w:val="24"/>
        </w:rPr>
        <w:tab/>
      </w:r>
      <w:r w:rsidR="009A274C" w:rsidRPr="00A95E01">
        <w:rPr>
          <w:iCs/>
          <w:color w:val="000000" w:themeColor="text1"/>
          <w:kern w:val="24"/>
        </w:rPr>
        <w:tab/>
      </w:r>
      <w:r w:rsidR="00AB073E" w:rsidRPr="00A95E01">
        <w:rPr>
          <w:iCs/>
          <w:color w:val="000000" w:themeColor="text1"/>
          <w:kern w:val="24"/>
        </w:rPr>
        <w:t>(12)</w:t>
      </w:r>
    </w:p>
    <w:p w:rsidR="00AB073E" w:rsidRPr="00A95E01" w:rsidRDefault="00AB073E" w:rsidP="009322C4">
      <w:pPr>
        <w:spacing w:line="360" w:lineRule="auto"/>
        <w:jc w:val="both"/>
      </w:pPr>
      <w:r w:rsidRPr="00A95E01">
        <w:t xml:space="preserve">Precision analysis on the Pu mass fraction determination can be carried out by a classical GUM approach </w:t>
      </w:r>
      <w:r w:rsidR="009A274C" w:rsidRPr="00A95E01">
        <w:t>[10]</w:t>
      </w:r>
      <w:r w:rsidRPr="00A95E01">
        <w:t>, which consists in applying the law of propagation of variances to the mathematical expression of the Pu mass fraction reported in Eq</w:t>
      </w:r>
      <w:r w:rsidR="009A274C" w:rsidRPr="00A95E01">
        <w:t>.</w:t>
      </w:r>
      <w:r w:rsidRPr="00A95E01">
        <w:t xml:space="preserve"> </w:t>
      </w:r>
      <w:r w:rsidR="009A274C" w:rsidRPr="00A95E01">
        <w:t>(</w:t>
      </w:r>
      <w:r w:rsidRPr="00A95E01">
        <w:t>12</w:t>
      </w:r>
      <w:r w:rsidR="009A274C" w:rsidRPr="00A95E01">
        <w:t>)</w:t>
      </w:r>
      <w:r w:rsidRPr="00A95E01">
        <w:t xml:space="preserve">. During GUM analysis, only the uncertainties on the parameters </w:t>
      </w:r>
      <w:r w:rsidRPr="00A95E01">
        <w:rPr>
          <w:i/>
        </w:rPr>
        <w:t>Q, m</w:t>
      </w:r>
      <w:r w:rsidRPr="00A95E01">
        <w:rPr>
          <w:i/>
          <w:vertAlign w:val="subscript"/>
        </w:rPr>
        <w:t>sample</w:t>
      </w:r>
      <w:r w:rsidRPr="00A95E01">
        <w:rPr>
          <w:i/>
        </w:rPr>
        <w:t>,</w:t>
      </w:r>
      <w:r w:rsidRPr="00A95E01">
        <w:t xml:space="preserve"> and </w:t>
      </w:r>
      <w:r w:rsidRPr="00A95E01">
        <w:rPr>
          <w:i/>
        </w:rPr>
        <w:t>DF</w:t>
      </w:r>
      <w:r w:rsidRPr="00A95E01">
        <w:t xml:space="preserve"> are taken into account as the uncertainties on the </w:t>
      </w:r>
      <w:r w:rsidRPr="00A95E01">
        <w:rPr>
          <w:i/>
        </w:rPr>
        <w:t>M</w:t>
      </w:r>
      <w:r w:rsidRPr="00A95E01">
        <w:rPr>
          <w:i/>
          <w:vertAlign w:val="subscript"/>
        </w:rPr>
        <w:t>Pu</w:t>
      </w:r>
      <w:r w:rsidRPr="00A95E01">
        <w:t xml:space="preserve">, and </w:t>
      </w:r>
      <w:r w:rsidRPr="00A95E01">
        <w:rPr>
          <w:i/>
        </w:rPr>
        <w:t>f</w:t>
      </w:r>
      <w:r w:rsidRPr="00A95E01">
        <w:t xml:space="preserve"> parameters can be considered negligible (as discussed later in this text).</w:t>
      </w:r>
    </w:p>
    <w:p w:rsidR="00AB073E" w:rsidRPr="00A95E01" w:rsidRDefault="00AB073E" w:rsidP="009322C4">
      <w:pPr>
        <w:spacing w:line="360" w:lineRule="auto"/>
        <w:jc w:val="both"/>
      </w:pPr>
      <w:r w:rsidRPr="00A95E01">
        <w:t xml:space="preserve">Indeed, uncertainties on </w:t>
      </w:r>
      <w:r w:rsidRPr="00A95E01">
        <w:rPr>
          <w:i/>
        </w:rPr>
        <w:t>M</w:t>
      </w:r>
      <w:r w:rsidRPr="00A95E01">
        <w:rPr>
          <w:i/>
          <w:vertAlign w:val="subscript"/>
        </w:rPr>
        <w:t>Pu</w:t>
      </w:r>
      <w:r w:rsidRPr="00A95E01">
        <w:t xml:space="preserve">, and </w:t>
      </w:r>
      <w:r w:rsidRPr="00A95E01">
        <w:rPr>
          <w:i/>
        </w:rPr>
        <w:t>f</w:t>
      </w:r>
      <w:r w:rsidRPr="00A95E01">
        <w:t xml:space="preserve">, have been estimated according to their probability distribution and their standard uncertainty (taken from previous experiments, see Table 6). The uncertainty on </w:t>
      </w:r>
      <w:r w:rsidRPr="00A95E01">
        <w:rPr>
          <w:i/>
        </w:rPr>
        <w:t>M</w:t>
      </w:r>
      <w:r w:rsidRPr="00A95E01">
        <w:rPr>
          <w:i/>
          <w:vertAlign w:val="subscript"/>
        </w:rPr>
        <w:t>P</w:t>
      </w:r>
      <w:r w:rsidRPr="00A95E01">
        <w:rPr>
          <w:vertAlign w:val="subscript"/>
        </w:rPr>
        <w:t>u</w:t>
      </w:r>
      <w:r w:rsidRPr="00A95E01">
        <w:t xml:space="preserve"> was taken from the MP2 CRM certificate, considering that the uncertainty from radioactive decay between the dates of analysis is non-significant. The value of the Faraday constant, </w:t>
      </w:r>
      <w:r w:rsidRPr="00A95E01">
        <w:rPr>
          <w:i/>
        </w:rPr>
        <w:t>F</w:t>
      </w:r>
      <w:r w:rsidRPr="00A95E01">
        <w:t xml:space="preserve">, was taken from the CODATA publication and is considered as a constant since 2019 </w:t>
      </w:r>
      <w:r w:rsidR="009A274C" w:rsidRPr="00A95E01">
        <w:t>[9]</w:t>
      </w:r>
      <w:r w:rsidRPr="00A95E01">
        <w:t xml:space="preserve">. Concerning the </w:t>
      </w:r>
      <w:r w:rsidRPr="00A95E01">
        <w:rPr>
          <w:i/>
        </w:rPr>
        <w:t>f</w:t>
      </w:r>
      <w:r w:rsidRPr="00A95E01">
        <w:t xml:space="preserve"> factor, its uncertainty range was calculated by experimentally varying the formal potential by ±5mV and measuring its </w:t>
      </w:r>
      <w:r w:rsidRPr="00A95E01">
        <w:lastRenderedPageBreak/>
        <w:t xml:space="preserve">impact on the </w:t>
      </w:r>
      <w:r w:rsidRPr="00A95E01">
        <w:rPr>
          <w:i/>
        </w:rPr>
        <w:t>f</w:t>
      </w:r>
      <w:r w:rsidRPr="00A95E01">
        <w:t xml:space="preserve"> value. This gave a measuring span of 0.006% </w:t>
      </w:r>
      <w:r w:rsidR="00B97CA3" w:rsidRPr="00B97CA3">
        <w:t>[22]</w:t>
      </w:r>
      <w:r w:rsidRPr="00A95E01">
        <w:t xml:space="preserve"> and a relative standard uncertainty of 0.0017% (i.e. </w:t>
      </w:r>
      <m:oMath>
        <m:r>
          <w:rPr>
            <w:rFonts w:ascii="Cambria Math" w:hAnsi="Cambria Math"/>
          </w:rPr>
          <m:t>0.006/</m:t>
        </m:r>
        <m:r>
          <w:rPr>
            <w:rFonts w:ascii="Cambria Math" w:hAnsi="Cambria Math"/>
          </w:rPr>
          <m:t>(</m:t>
        </m:r>
        <m:r>
          <w:rPr>
            <w:rFonts w:ascii="Cambria Math" w:hAnsi="Cambria Math"/>
          </w:rPr>
          <m:t>2</m:t>
        </m:r>
        <m:rad>
          <m:radPr>
            <m:degHide m:val="1"/>
            <m:ctrlPr>
              <w:rPr>
                <w:rFonts w:ascii="Cambria Math" w:hAnsi="Cambria Math"/>
                <w:i/>
              </w:rPr>
            </m:ctrlPr>
          </m:radPr>
          <m:deg/>
          <m:e>
            <m:r>
              <w:rPr>
                <w:rFonts w:ascii="Cambria Math" w:hAnsi="Cambria Math"/>
              </w:rPr>
              <m:t>3</m:t>
            </m:r>
          </m:e>
        </m:rad>
        <m:r>
          <w:rPr>
            <w:rFonts w:ascii="Cambria Math" w:hAnsi="Cambria Math"/>
          </w:rPr>
          <m:t>)</m:t>
        </m:r>
      </m:oMath>
      <w:r w:rsidRPr="00A95E01">
        <w:t>) (considering a uniform distribution).</w:t>
      </w:r>
    </w:p>
    <w:p w:rsidR="00AB073E" w:rsidRPr="00A95E01" w:rsidRDefault="00AB073E" w:rsidP="009E490A">
      <w:pPr>
        <w:spacing w:line="360" w:lineRule="auto"/>
        <w:jc w:val="both"/>
      </w:pPr>
    </w:p>
    <w:tbl>
      <w:tblPr>
        <w:tblW w:w="4853" w:type="dxa"/>
        <w:jc w:val="center"/>
        <w:tblLayout w:type="fixed"/>
        <w:tblLook w:val="01E0" w:firstRow="1" w:lastRow="1" w:firstColumn="1" w:lastColumn="1" w:noHBand="0" w:noVBand="0"/>
      </w:tblPr>
      <w:tblGrid>
        <w:gridCol w:w="1101"/>
        <w:gridCol w:w="1309"/>
        <w:gridCol w:w="1418"/>
        <w:gridCol w:w="1025"/>
      </w:tblGrid>
      <w:tr w:rsidR="00AB073E" w:rsidRPr="00A95E01" w:rsidTr="009A274C">
        <w:trPr>
          <w:jc w:val="center"/>
        </w:trPr>
        <w:tc>
          <w:tcPr>
            <w:tcW w:w="1101" w:type="dxa"/>
            <w:tcBorders>
              <w:top w:val="single" w:sz="4" w:space="0" w:color="auto"/>
              <w:bottom w:val="single" w:sz="4" w:space="0" w:color="auto"/>
            </w:tcBorders>
            <w:vAlign w:val="center"/>
          </w:tcPr>
          <w:p w:rsidR="00AB073E" w:rsidRPr="00A95E01" w:rsidRDefault="00AB073E" w:rsidP="009A274C">
            <w:pPr>
              <w:spacing w:line="360" w:lineRule="auto"/>
              <w:jc w:val="center"/>
            </w:pPr>
            <w:r w:rsidRPr="00A95E01">
              <w:t>Variable</w:t>
            </w:r>
          </w:p>
        </w:tc>
        <w:tc>
          <w:tcPr>
            <w:tcW w:w="1309" w:type="dxa"/>
            <w:tcBorders>
              <w:top w:val="single" w:sz="4" w:space="0" w:color="auto"/>
              <w:bottom w:val="single" w:sz="4" w:space="0" w:color="auto"/>
            </w:tcBorders>
            <w:vAlign w:val="center"/>
          </w:tcPr>
          <w:p w:rsidR="00AB073E" w:rsidRPr="00A95E01" w:rsidRDefault="00AB073E" w:rsidP="009A274C">
            <w:pPr>
              <w:spacing w:line="360" w:lineRule="auto"/>
              <w:jc w:val="center"/>
            </w:pPr>
            <w:r w:rsidRPr="00A95E01">
              <w:t>u</w:t>
            </w:r>
            <w:r w:rsidRPr="00A95E01">
              <w:rPr>
                <w:vertAlign w:val="subscript"/>
              </w:rPr>
              <w:t>r</w:t>
            </w:r>
            <w:r w:rsidRPr="00A95E01">
              <w:t xml:space="preserve"> (k=1)</w:t>
            </w:r>
          </w:p>
        </w:tc>
        <w:tc>
          <w:tcPr>
            <w:tcW w:w="1418" w:type="dxa"/>
            <w:tcBorders>
              <w:top w:val="single" w:sz="4" w:space="0" w:color="auto"/>
              <w:bottom w:val="single" w:sz="4" w:space="0" w:color="auto"/>
            </w:tcBorders>
            <w:vAlign w:val="center"/>
          </w:tcPr>
          <w:p w:rsidR="00AB073E" w:rsidRPr="00A95E01" w:rsidRDefault="00AB073E" w:rsidP="009A274C">
            <w:pPr>
              <w:spacing w:line="360" w:lineRule="auto"/>
              <w:jc w:val="center"/>
            </w:pPr>
            <w:r w:rsidRPr="00A95E01">
              <w:t>distribution</w:t>
            </w:r>
          </w:p>
        </w:tc>
        <w:tc>
          <w:tcPr>
            <w:tcW w:w="1025" w:type="dxa"/>
            <w:tcBorders>
              <w:top w:val="single" w:sz="4" w:space="0" w:color="auto"/>
              <w:bottom w:val="single" w:sz="4" w:space="0" w:color="auto"/>
            </w:tcBorders>
            <w:vAlign w:val="center"/>
          </w:tcPr>
          <w:p w:rsidR="00AB073E" w:rsidRPr="00A95E01" w:rsidRDefault="00AB073E" w:rsidP="009A274C">
            <w:pPr>
              <w:spacing w:line="360" w:lineRule="auto"/>
              <w:jc w:val="center"/>
            </w:pPr>
            <w:r w:rsidRPr="00A95E01">
              <w:t>Ref.</w:t>
            </w:r>
          </w:p>
        </w:tc>
      </w:tr>
      <w:tr w:rsidR="00AB073E" w:rsidRPr="00A95E01" w:rsidTr="009A274C">
        <w:trPr>
          <w:jc w:val="center"/>
        </w:trPr>
        <w:tc>
          <w:tcPr>
            <w:tcW w:w="1101" w:type="dxa"/>
            <w:vAlign w:val="center"/>
          </w:tcPr>
          <w:p w:rsidR="00AB073E" w:rsidRPr="00A95E01" w:rsidRDefault="00AB073E" w:rsidP="009A274C">
            <w:pPr>
              <w:spacing w:line="360" w:lineRule="auto"/>
              <w:jc w:val="center"/>
            </w:pPr>
            <w:r w:rsidRPr="00A95E01">
              <w:t>M</w:t>
            </w:r>
            <w:r w:rsidRPr="00A95E01">
              <w:rPr>
                <w:vertAlign w:val="subscript"/>
              </w:rPr>
              <w:t>Pu</w:t>
            </w:r>
          </w:p>
        </w:tc>
        <w:tc>
          <w:tcPr>
            <w:tcW w:w="1309" w:type="dxa"/>
            <w:vAlign w:val="center"/>
          </w:tcPr>
          <w:p w:rsidR="00AB073E" w:rsidRPr="00A95E01" w:rsidRDefault="00AB073E" w:rsidP="009A274C">
            <w:pPr>
              <w:spacing w:line="360" w:lineRule="auto"/>
              <w:jc w:val="center"/>
            </w:pPr>
            <w:r w:rsidRPr="00A95E01">
              <w:t>3.8 10</w:t>
            </w:r>
            <w:r w:rsidRPr="00A95E01">
              <w:rPr>
                <w:vertAlign w:val="superscript"/>
              </w:rPr>
              <w:t>-5</w:t>
            </w:r>
            <w:r w:rsidRPr="00A95E01">
              <w:t xml:space="preserve"> %</w:t>
            </w:r>
          </w:p>
        </w:tc>
        <w:tc>
          <w:tcPr>
            <w:tcW w:w="1418" w:type="dxa"/>
            <w:vAlign w:val="center"/>
          </w:tcPr>
          <w:p w:rsidR="00AB073E" w:rsidRPr="00A95E01" w:rsidRDefault="00AB073E" w:rsidP="009A274C">
            <w:pPr>
              <w:spacing w:line="360" w:lineRule="auto"/>
              <w:jc w:val="center"/>
            </w:pPr>
            <w:r w:rsidRPr="00A95E01">
              <w:t>normal</w:t>
            </w:r>
          </w:p>
        </w:tc>
        <w:tc>
          <w:tcPr>
            <w:tcW w:w="1025" w:type="dxa"/>
            <w:vAlign w:val="center"/>
          </w:tcPr>
          <w:p w:rsidR="00AB073E" w:rsidRPr="00A95E01" w:rsidRDefault="00B97CA3" w:rsidP="0001333A">
            <w:pPr>
              <w:spacing w:line="360" w:lineRule="auto"/>
              <w:ind w:right="-106"/>
              <w:jc w:val="center"/>
              <w:rPr>
                <w:sz w:val="16"/>
                <w:szCs w:val="16"/>
              </w:rPr>
            </w:pPr>
            <w:r w:rsidRPr="00B97CA3">
              <w:rPr>
                <w:sz w:val="16"/>
              </w:rPr>
              <w:t>[23]</w:t>
            </w:r>
          </w:p>
        </w:tc>
      </w:tr>
      <w:tr w:rsidR="00AB073E" w:rsidRPr="00A95E01" w:rsidTr="009A274C">
        <w:trPr>
          <w:jc w:val="center"/>
        </w:trPr>
        <w:tc>
          <w:tcPr>
            <w:tcW w:w="1101" w:type="dxa"/>
            <w:tcBorders>
              <w:bottom w:val="single" w:sz="4" w:space="0" w:color="auto"/>
            </w:tcBorders>
            <w:vAlign w:val="center"/>
          </w:tcPr>
          <w:p w:rsidR="00AB073E" w:rsidRPr="00A95E01" w:rsidRDefault="00AB073E" w:rsidP="009A274C">
            <w:pPr>
              <w:spacing w:line="360" w:lineRule="auto"/>
              <w:jc w:val="center"/>
            </w:pPr>
            <w:r w:rsidRPr="00A95E01">
              <w:t>f</w:t>
            </w:r>
          </w:p>
        </w:tc>
        <w:tc>
          <w:tcPr>
            <w:tcW w:w="1309" w:type="dxa"/>
            <w:tcBorders>
              <w:bottom w:val="single" w:sz="4" w:space="0" w:color="auto"/>
            </w:tcBorders>
            <w:vAlign w:val="center"/>
          </w:tcPr>
          <w:p w:rsidR="00AB073E" w:rsidRPr="00A95E01" w:rsidRDefault="00AB073E" w:rsidP="009A274C">
            <w:pPr>
              <w:spacing w:line="360" w:lineRule="auto"/>
              <w:jc w:val="center"/>
            </w:pPr>
            <w:r w:rsidRPr="00A95E01">
              <w:t>1.7 10</w:t>
            </w:r>
            <w:r w:rsidRPr="00A95E01">
              <w:rPr>
                <w:vertAlign w:val="superscript"/>
              </w:rPr>
              <w:t>-3</w:t>
            </w:r>
            <w:r w:rsidRPr="00A95E01">
              <w:t>%</w:t>
            </w:r>
          </w:p>
        </w:tc>
        <w:tc>
          <w:tcPr>
            <w:tcW w:w="1418" w:type="dxa"/>
            <w:tcBorders>
              <w:bottom w:val="single" w:sz="4" w:space="0" w:color="auto"/>
            </w:tcBorders>
            <w:vAlign w:val="center"/>
          </w:tcPr>
          <w:p w:rsidR="00AB073E" w:rsidRPr="00A95E01" w:rsidRDefault="00AB073E" w:rsidP="009A274C">
            <w:pPr>
              <w:spacing w:line="360" w:lineRule="auto"/>
              <w:jc w:val="center"/>
            </w:pPr>
            <w:r w:rsidRPr="00A95E01">
              <w:t>uniform</w:t>
            </w:r>
          </w:p>
        </w:tc>
        <w:tc>
          <w:tcPr>
            <w:tcW w:w="1025" w:type="dxa"/>
            <w:tcBorders>
              <w:bottom w:val="single" w:sz="4" w:space="0" w:color="auto"/>
            </w:tcBorders>
            <w:vAlign w:val="center"/>
          </w:tcPr>
          <w:p w:rsidR="00AB073E" w:rsidRPr="00A95E01" w:rsidRDefault="0001333A" w:rsidP="0001333A">
            <w:pPr>
              <w:spacing w:line="360" w:lineRule="auto"/>
              <w:ind w:right="-106"/>
              <w:jc w:val="center"/>
              <w:rPr>
                <w:sz w:val="16"/>
                <w:szCs w:val="16"/>
              </w:rPr>
            </w:pPr>
            <w:r w:rsidRPr="00A95E01">
              <w:rPr>
                <w:sz w:val="16"/>
                <w:szCs w:val="16"/>
              </w:rPr>
              <w:t>[22]</w:t>
            </w:r>
          </w:p>
        </w:tc>
      </w:tr>
    </w:tbl>
    <w:p w:rsidR="00AB073E" w:rsidRPr="00A95E01" w:rsidRDefault="00AB073E" w:rsidP="009A274C">
      <w:pPr>
        <w:spacing w:line="360" w:lineRule="auto"/>
        <w:jc w:val="center"/>
      </w:pPr>
      <w:r w:rsidRPr="00A95E01">
        <w:rPr>
          <w:b/>
        </w:rPr>
        <w:t>Table 6</w:t>
      </w:r>
      <w:r w:rsidRPr="00A95E01">
        <w:t xml:space="preserve"> Relative uncertainty evaluations for </w:t>
      </w:r>
      <w:r w:rsidRPr="00A95E01">
        <w:rPr>
          <w:i/>
        </w:rPr>
        <w:t>M</w:t>
      </w:r>
      <w:r w:rsidRPr="00A95E01">
        <w:rPr>
          <w:i/>
          <w:vertAlign w:val="subscript"/>
        </w:rPr>
        <w:t>Pu</w:t>
      </w:r>
      <w:r w:rsidRPr="00A95E01">
        <w:rPr>
          <w:i/>
        </w:rPr>
        <w:t>,</w:t>
      </w:r>
      <w:r w:rsidRPr="00A95E01">
        <w:t xml:space="preserve"> and </w:t>
      </w:r>
      <w:r w:rsidRPr="00A95E01">
        <w:rPr>
          <w:i/>
        </w:rPr>
        <w:t>f</w:t>
      </w:r>
      <w:r w:rsidRPr="00A95E01">
        <w:t xml:space="preserve"> factors.</w:t>
      </w:r>
    </w:p>
    <w:p w:rsidR="00AB073E" w:rsidRPr="00A95E01" w:rsidRDefault="00AB073E" w:rsidP="009E490A">
      <w:pPr>
        <w:spacing w:line="360" w:lineRule="auto"/>
        <w:jc w:val="both"/>
      </w:pPr>
      <w:r w:rsidRPr="00A95E01">
        <w:t xml:space="preserve">Eliminating the negligible terms, the expression of the combined relative uncertainty, </w:t>
      </w:r>
      <w:r w:rsidRPr="00A95E01">
        <w:rPr>
          <w:i/>
        </w:rPr>
        <w:t>u</w:t>
      </w:r>
      <w:r w:rsidRPr="00A95E01">
        <w:rPr>
          <w:i/>
          <w:vertAlign w:val="subscript"/>
        </w:rPr>
        <w:t>r</w:t>
      </w:r>
      <w:r w:rsidRPr="00A95E01">
        <w:t>, could then be simplified as expressed in Eq</w:t>
      </w:r>
      <w:r w:rsidR="009A274C" w:rsidRPr="00A95E01">
        <w:t>.</w:t>
      </w:r>
      <w:r w:rsidRPr="00A95E01">
        <w:t xml:space="preserve"> </w:t>
      </w:r>
      <w:r w:rsidR="009A274C" w:rsidRPr="00A95E01">
        <w:t>(</w:t>
      </w:r>
      <w:r w:rsidRPr="00A95E01">
        <w:t>13</w:t>
      </w:r>
      <w:r w:rsidR="009A274C" w:rsidRPr="00A95E01">
        <w:t>)</w:t>
      </w:r>
      <w:r w:rsidRPr="00A95E01">
        <w:t>. It is important to note that each term in Eq</w:t>
      </w:r>
      <w:r w:rsidR="009A274C" w:rsidRPr="00A95E01">
        <w:t>.</w:t>
      </w:r>
      <w:r w:rsidRPr="00A95E01">
        <w:t xml:space="preserve"> </w:t>
      </w:r>
      <w:r w:rsidR="009A274C" w:rsidRPr="00A95E01">
        <w:t>(</w:t>
      </w:r>
      <w:r w:rsidRPr="00A95E01">
        <w:t>13</w:t>
      </w:r>
      <w:r w:rsidR="009A274C" w:rsidRPr="00A95E01">
        <w:t>)</w:t>
      </w:r>
      <w:r w:rsidRPr="00A95E01">
        <w:t xml:space="preserve"> is independent (there are no covariance terms) and must thus be evaluated in order to assess the global variance on Pu mass fraction</w:t>
      </w:r>
    </w:p>
    <w:p w:rsidR="00AB073E" w:rsidRPr="00A95E01" w:rsidRDefault="00257004" w:rsidP="009E490A">
      <w:pPr>
        <w:spacing w:line="360" w:lineRule="auto"/>
        <w:jc w:val="center"/>
      </w:pPr>
      <m:oMath>
        <m:sSubSup>
          <m:sSubSupPr>
            <m:ctrlPr>
              <w:rPr>
                <w:rFonts w:ascii="Cambria Math" w:hAnsi="Cambria Math"/>
                <w:i/>
              </w:rPr>
            </m:ctrlPr>
          </m:sSubSupPr>
          <m:e>
            <m:r>
              <w:rPr>
                <w:rFonts w:ascii="Cambria Math" w:hAnsi="Cambria Math"/>
              </w:rPr>
              <m:t>u</m:t>
            </m:r>
          </m:e>
          <m:sub>
            <m:r>
              <w:rPr>
                <w:rFonts w:ascii="Cambria Math" w:hAnsi="Cambria Math"/>
              </w:rPr>
              <m:t>r</m:t>
            </m:r>
          </m:sub>
          <m:sup>
            <m:r>
              <w:rPr>
                <w:rFonts w:ascii="Cambria Math" w:hAnsi="Cambria Math"/>
              </w:rPr>
              <m:t>2</m:t>
            </m:r>
          </m:sup>
        </m:sSubSup>
        <m:d>
          <m:dPr>
            <m:ctrlPr>
              <w:rPr>
                <w:rFonts w:ascii="Cambria Math" w:hAnsi="Cambria Math"/>
                <w:i/>
              </w:rPr>
            </m:ctrlPr>
          </m:dPr>
          <m:e>
            <m:d>
              <m:dPr>
                <m:begChr m:val="["/>
                <m:endChr m:val="]"/>
                <m:ctrlPr>
                  <w:rPr>
                    <w:rFonts w:ascii="Cambria Math" w:hAnsi="Cambria Math"/>
                    <w:i/>
                  </w:rPr>
                </m:ctrlPr>
              </m:dPr>
              <m:e>
                <m:r>
                  <w:rPr>
                    <w:rFonts w:ascii="Cambria Math" w:hAnsi="Cambria Math"/>
                  </w:rPr>
                  <m:t>Pu</m:t>
                </m:r>
              </m:e>
            </m:d>
          </m:e>
        </m:d>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r</m:t>
            </m:r>
          </m:sub>
          <m:sup>
            <m:r>
              <w:rPr>
                <w:rFonts w:ascii="Cambria Math" w:hAnsi="Cambria Math"/>
              </w:rPr>
              <m:t>2</m:t>
            </m:r>
          </m:sup>
        </m:sSubSup>
        <m:d>
          <m:dPr>
            <m:ctrlPr>
              <w:rPr>
                <w:rFonts w:ascii="Cambria Math" w:hAnsi="Cambria Math"/>
                <w:i/>
              </w:rPr>
            </m:ctrlPr>
          </m:dPr>
          <m:e>
            <m:r>
              <w:rPr>
                <w:rFonts w:ascii="Cambria Math" w:hAnsi="Cambria Math"/>
              </w:rPr>
              <m:t>Q</m:t>
            </m:r>
          </m:e>
        </m:d>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r</m:t>
            </m:r>
          </m:sub>
          <m:sup>
            <m:r>
              <w:rPr>
                <w:rFonts w:ascii="Cambria Math" w:hAnsi="Cambria Math"/>
              </w:rPr>
              <m:t>2</m:t>
            </m:r>
          </m:sup>
        </m:sSubSup>
        <m:d>
          <m:dPr>
            <m:ctrlPr>
              <w:rPr>
                <w:rFonts w:ascii="Cambria Math" w:hAnsi="Cambria Math"/>
                <w:i/>
              </w:rPr>
            </m:ctrlPr>
          </m:dPr>
          <m:e>
            <m:r>
              <w:rPr>
                <w:rFonts w:ascii="Cambria Math" w:hAnsi="Cambria Math"/>
              </w:rPr>
              <m:t>DF</m:t>
            </m:r>
          </m:e>
        </m:d>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r</m:t>
            </m:r>
          </m:sub>
          <m:sup>
            <m:r>
              <w:rPr>
                <w:rFonts w:ascii="Cambria Math" w:hAnsi="Cambria Math"/>
              </w:rPr>
              <m:t>2</m:t>
            </m:r>
          </m:sup>
        </m:sSubSup>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sample</m:t>
                </m:r>
              </m:sub>
            </m:sSub>
          </m:e>
        </m:d>
        <m:r>
          <w:rPr>
            <w:rFonts w:ascii="Cambria Math" w:hAnsi="Cambria Math"/>
          </w:rPr>
          <m:t xml:space="preserve">       </m:t>
        </m:r>
      </m:oMath>
      <w:r w:rsidR="009A274C" w:rsidRPr="00A95E01">
        <w:tab/>
      </w:r>
      <w:r w:rsidR="009A274C" w:rsidRPr="00A95E01">
        <w:tab/>
      </w:r>
      <w:r w:rsidR="00AB073E" w:rsidRPr="00A95E01">
        <w:t>(13)</w:t>
      </w:r>
    </w:p>
    <w:p w:rsidR="00AB073E" w:rsidRPr="00A95E01" w:rsidRDefault="00AB073E" w:rsidP="009E490A">
      <w:pPr>
        <w:spacing w:line="360" w:lineRule="auto"/>
        <w:jc w:val="both"/>
      </w:pPr>
      <w:r w:rsidRPr="00A95E01">
        <w:t xml:space="preserve">The variance of </w:t>
      </w:r>
      <w:r w:rsidRPr="00A95E01">
        <w:rPr>
          <w:i/>
        </w:rPr>
        <w:t>Q</w:t>
      </w:r>
      <w:r w:rsidRPr="00A95E01">
        <w:t xml:space="preserve"> terms is difficult to estimate because every Pu coulometric experiment is unique and can not be repeated. Thus, in a first approach, we consider that it is proportional to the variance of the quantity of electricity of the blank, </w:t>
      </w:r>
      <w:r w:rsidRPr="00A95E01">
        <w:rPr>
          <w:i/>
        </w:rPr>
        <w:t>u</w:t>
      </w:r>
      <w:r w:rsidRPr="00A95E01">
        <w:rPr>
          <w:i/>
          <w:vertAlign w:val="superscript"/>
        </w:rPr>
        <w:t>2</w:t>
      </w:r>
      <w:r w:rsidRPr="00A95E01">
        <w:rPr>
          <w:i/>
        </w:rPr>
        <w:t>(Q</w:t>
      </w:r>
      <w:r w:rsidRPr="00A95E01">
        <w:rPr>
          <w:i/>
          <w:vertAlign w:val="subscript"/>
        </w:rPr>
        <w:t>b</w:t>
      </w:r>
      <w:r w:rsidRPr="00A95E01">
        <w:rPr>
          <w:i/>
        </w:rPr>
        <w:t>)</w:t>
      </w:r>
      <w:r w:rsidRPr="00A95E01">
        <w:t>, which is the best estimator of the uncertainty for the integration of current.</w:t>
      </w:r>
    </w:p>
    <w:p w:rsidR="00AB073E" w:rsidRPr="00A95E01" w:rsidRDefault="00AB073E" w:rsidP="009E490A">
      <w:pPr>
        <w:spacing w:line="360" w:lineRule="auto"/>
        <w:jc w:val="both"/>
      </w:pPr>
    </w:p>
    <w:p w:rsidR="00AB073E" w:rsidRPr="00A95E01" w:rsidRDefault="00AB073E" w:rsidP="009E490A">
      <w:pPr>
        <w:spacing w:line="360" w:lineRule="auto"/>
        <w:jc w:val="both"/>
      </w:pPr>
      <w:r w:rsidRPr="00A95E01">
        <w:t>As such</w:t>
      </w:r>
      <w:r w:rsidRPr="00A95E01">
        <w:rPr>
          <w:i/>
        </w:rPr>
        <w:t xml:space="preserve"> u</w:t>
      </w:r>
      <w:r w:rsidRPr="00A95E01">
        <w:rPr>
          <w:i/>
          <w:vertAlign w:val="subscript"/>
        </w:rPr>
        <w:t>r</w:t>
      </w:r>
      <w:r w:rsidRPr="00A95E01">
        <w:rPr>
          <w:i/>
        </w:rPr>
        <w:t>(Q)</w:t>
      </w:r>
      <w:r w:rsidRPr="00A95E01">
        <w:t xml:space="preserve"> can be expressed as shown in Eq</w:t>
      </w:r>
      <w:r w:rsidR="009A274C" w:rsidRPr="00A95E01">
        <w:t>.</w:t>
      </w:r>
      <w:r w:rsidRPr="00A95E01">
        <w:t xml:space="preserve"> </w:t>
      </w:r>
      <w:r w:rsidR="009A274C" w:rsidRPr="00A95E01">
        <w:t>(</w:t>
      </w:r>
      <w:r w:rsidRPr="00A95E01">
        <w:t>14</w:t>
      </w:r>
      <w:r w:rsidR="009A274C" w:rsidRPr="00A95E01">
        <w:t>)</w:t>
      </w:r>
      <w:r w:rsidRPr="00A95E01">
        <w:t>:</w:t>
      </w:r>
    </w:p>
    <w:p w:rsidR="00AB073E" w:rsidRPr="00A95E01" w:rsidRDefault="00257004" w:rsidP="009E490A">
      <w:pPr>
        <w:spacing w:line="360" w:lineRule="auto"/>
        <w:jc w:val="center"/>
      </w:pPr>
      <m:oMath>
        <m:sSubSup>
          <m:sSubSupPr>
            <m:ctrlPr>
              <w:rPr>
                <w:rFonts w:ascii="Cambria Math" w:hAnsi="Cambria Math"/>
                <w:i/>
              </w:rPr>
            </m:ctrlPr>
          </m:sSubSupPr>
          <m:e>
            <m:r>
              <w:rPr>
                <w:rFonts w:ascii="Cambria Math" w:hAnsi="Cambria Math"/>
              </w:rPr>
              <m:t>u</m:t>
            </m:r>
          </m:e>
          <m:sub>
            <m:r>
              <w:rPr>
                <w:rFonts w:ascii="Cambria Math" w:hAnsi="Cambria Math"/>
              </w:rPr>
              <m:t>r</m:t>
            </m:r>
          </m:sub>
          <m:sup>
            <m:r>
              <w:rPr>
                <w:rFonts w:ascii="Cambria Math" w:hAnsi="Cambria Math"/>
              </w:rPr>
              <m:t>2</m:t>
            </m:r>
          </m:sup>
        </m:sSubSup>
        <m:d>
          <m:dPr>
            <m:ctrlPr>
              <w:rPr>
                <w:rFonts w:ascii="Cambria Math" w:hAnsi="Cambria Math"/>
                <w:i/>
              </w:rPr>
            </m:ctrlPr>
          </m:dPr>
          <m:e>
            <m:r>
              <w:rPr>
                <w:rFonts w:ascii="Cambria Math" w:hAnsi="Cambria Math"/>
              </w:rPr>
              <m:t>Q</m:t>
            </m:r>
          </m:e>
        </m:d>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r</m:t>
            </m:r>
          </m:sub>
          <m:sup>
            <m:r>
              <w:rPr>
                <w:rFonts w:ascii="Cambria Math" w:hAnsi="Cambria Math"/>
              </w:rPr>
              <m:t>2</m:t>
            </m:r>
          </m:sup>
        </m:sSub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b</m:t>
                </m:r>
              </m:sub>
            </m:sSub>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u</m:t>
                </m:r>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b</m:t>
                    </m:r>
                  </m:sub>
                </m:sSub>
              </m:e>
            </m:d>
          </m:num>
          <m:den>
            <m:sSup>
              <m:sSupPr>
                <m:ctrlPr>
                  <w:rPr>
                    <w:rFonts w:ascii="Cambria Math" w:hAnsi="Cambria Math"/>
                    <w:i/>
                  </w:rPr>
                </m:ctrlPr>
              </m:sSupPr>
              <m:e>
                <m:r>
                  <w:rPr>
                    <w:rFonts w:ascii="Cambria Math" w:hAnsi="Cambria Math"/>
                  </w:rPr>
                  <m:t>Q</m:t>
                </m:r>
              </m:e>
              <m:sup>
                <m:r>
                  <w:rPr>
                    <w:rFonts w:ascii="Cambria Math" w:hAnsi="Cambria Math"/>
                  </w:rPr>
                  <m:t>2</m:t>
                </m:r>
              </m:sup>
            </m:sSup>
          </m:den>
        </m:f>
        <m:r>
          <w:rPr>
            <w:rFonts w:ascii="Cambria Math" w:hAnsi="Cambria Math"/>
          </w:rPr>
          <m:t>=2</m:t>
        </m:r>
        <m:f>
          <m:fPr>
            <m:ctrlPr>
              <w:rPr>
                <w:rFonts w:ascii="Cambria Math" w:hAnsi="Cambria Math"/>
                <w:i/>
              </w:rPr>
            </m:ctrlPr>
          </m:fPr>
          <m:num>
            <m:sSup>
              <m:sSupPr>
                <m:ctrlPr>
                  <w:rPr>
                    <w:rFonts w:ascii="Cambria Math" w:hAnsi="Cambria Math"/>
                    <w:i/>
                  </w:rPr>
                </m:ctrlPr>
              </m:sSupPr>
              <m:e>
                <m:r>
                  <w:rPr>
                    <w:rFonts w:ascii="Cambria Math" w:hAnsi="Cambria Math"/>
                  </w:rPr>
                  <m:t>u</m:t>
                </m:r>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b</m:t>
                    </m:r>
                  </m:sub>
                </m:sSub>
              </m:e>
            </m:d>
          </m:num>
          <m:den>
            <m:sSup>
              <m:sSupPr>
                <m:ctrlPr>
                  <w:rPr>
                    <w:rFonts w:ascii="Cambria Math" w:hAnsi="Cambria Math"/>
                    <w:i/>
                  </w:rPr>
                </m:ctrlPr>
              </m:sSupPr>
              <m:e>
                <m:r>
                  <w:rPr>
                    <w:rFonts w:ascii="Cambria Math" w:hAnsi="Cambria Math"/>
                  </w:rPr>
                  <m:t>Q</m:t>
                </m:r>
              </m:e>
              <m:sup>
                <m:r>
                  <w:rPr>
                    <w:rFonts w:ascii="Cambria Math" w:hAnsi="Cambria Math"/>
                  </w:rPr>
                  <m:t>2</m:t>
                </m:r>
              </m:sup>
            </m:sSup>
          </m:den>
        </m:f>
      </m:oMath>
      <w:r w:rsidR="009A274C" w:rsidRPr="00A95E01">
        <w:tab/>
      </w:r>
      <w:r w:rsidR="009A274C" w:rsidRPr="00A95E01">
        <w:tab/>
      </w:r>
      <w:r w:rsidR="00AB073E" w:rsidRPr="00A95E01">
        <w:t>(14)</w:t>
      </w:r>
    </w:p>
    <w:p w:rsidR="00AB073E" w:rsidRPr="00A95E01" w:rsidRDefault="00AB073E" w:rsidP="009E490A">
      <w:pPr>
        <w:spacing w:line="360" w:lineRule="auto"/>
        <w:jc w:val="both"/>
      </w:pPr>
      <w:r w:rsidRPr="00A95E01">
        <w:t xml:space="preserve">Numerically, </w:t>
      </w:r>
      <w:r w:rsidRPr="00A95E01">
        <w:rPr>
          <w:i/>
        </w:rPr>
        <w:t>u</w:t>
      </w:r>
      <w:r w:rsidRPr="00A95E01">
        <w:rPr>
          <w:i/>
          <w:vertAlign w:val="subscript"/>
        </w:rPr>
        <w:t>r</w:t>
      </w:r>
      <w:r w:rsidRPr="00A95E01">
        <w:rPr>
          <w:i/>
        </w:rPr>
        <w:t>(Q)</w:t>
      </w:r>
      <w:r w:rsidRPr="00A95E01">
        <w:t xml:space="preserve"> was calculated to be:</w:t>
      </w:r>
    </w:p>
    <w:p w:rsidR="00AB073E" w:rsidRPr="00A95E01" w:rsidRDefault="00257004" w:rsidP="009E490A">
      <w:pPr>
        <w:spacing w:line="360" w:lineRule="auto"/>
        <w:jc w:val="both"/>
      </w:pPr>
      <m:oMathPara>
        <m:oMath>
          <m:sSub>
            <m:sSubPr>
              <m:ctrlPr>
                <w:rPr>
                  <w:rFonts w:ascii="Cambria Math" w:hAnsi="Cambria Math"/>
                  <w:i/>
                </w:rPr>
              </m:ctrlPr>
            </m:sSubPr>
            <m:e>
              <m:r>
                <w:rPr>
                  <w:rFonts w:ascii="Cambria Math" w:hAnsi="Cambria Math"/>
                </w:rPr>
                <m:t>u</m:t>
              </m:r>
            </m:e>
            <m:sub>
              <m:r>
                <w:rPr>
                  <w:rFonts w:ascii="Cambria Math" w:hAnsi="Cambria Math"/>
                </w:rPr>
                <m:t>r</m:t>
              </m:r>
            </m:sub>
          </m:sSub>
          <m:d>
            <m:dPr>
              <m:ctrlPr>
                <w:rPr>
                  <w:rFonts w:ascii="Cambria Math" w:hAnsi="Cambria Math"/>
                  <w:i/>
                </w:rPr>
              </m:ctrlPr>
            </m:dPr>
            <m:e>
              <m:r>
                <w:rPr>
                  <w:rFonts w:ascii="Cambria Math" w:hAnsi="Cambria Math"/>
                </w:rPr>
                <m:t>Q</m:t>
              </m:r>
            </m:e>
          </m:d>
          <m:r>
            <w:rPr>
              <w:rFonts w:ascii="Cambria Math" w:hAnsi="Cambria Math"/>
            </w:rPr>
            <m:t>=</m:t>
          </m:r>
          <m:rad>
            <m:radPr>
              <m:degHide m:val="1"/>
              <m:ctrlPr>
                <w:rPr>
                  <w:rFonts w:ascii="Cambria Math" w:hAnsi="Cambria Math"/>
                  <w:i/>
                </w:rPr>
              </m:ctrlPr>
            </m:radPr>
            <m:deg/>
            <m:e>
              <m:r>
                <w:rPr>
                  <w:rFonts w:ascii="Cambria Math" w:hAnsi="Cambria Math"/>
                </w:rPr>
                <m:t>2</m:t>
              </m:r>
            </m:e>
          </m:rad>
          <m:f>
            <m:fPr>
              <m:ctrlPr>
                <w:rPr>
                  <w:rFonts w:ascii="Cambria Math" w:hAnsi="Cambria Math"/>
                  <w:i/>
                </w:rPr>
              </m:ctrlPr>
            </m:fPr>
            <m:num>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b</m:t>
                      </m:r>
                    </m:sub>
                  </m:sSub>
                </m:e>
              </m:d>
            </m:num>
            <m:den>
              <m:r>
                <w:rPr>
                  <w:rFonts w:ascii="Cambria Math" w:hAnsi="Cambria Math"/>
                </w:rPr>
                <m:t>Q</m:t>
              </m:r>
            </m:den>
          </m:f>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m:t>
          </m:r>
          <m:f>
            <m:fPr>
              <m:ctrlPr>
                <w:rPr>
                  <w:rFonts w:ascii="Cambria Math" w:hAnsi="Cambria Math"/>
                  <w:i/>
                </w:rPr>
              </m:ctrlPr>
            </m:fPr>
            <m:num>
              <m:r>
                <w:rPr>
                  <w:rFonts w:ascii="Cambria Math" w:hAnsi="Cambria Math"/>
                </w:rPr>
                <m:t>0.7</m:t>
              </m:r>
            </m:num>
            <m:den>
              <m:r>
                <w:rPr>
                  <w:rFonts w:ascii="Cambria Math" w:hAnsi="Cambria Math"/>
                </w:rPr>
                <m:t>2500</m:t>
              </m:r>
            </m:den>
          </m:f>
          <m:r>
            <w:rPr>
              <w:rFonts w:ascii="Cambria Math" w:hAnsi="Cambria Math"/>
            </w:rPr>
            <m:t>=0.040%</m:t>
          </m:r>
        </m:oMath>
      </m:oMathPara>
    </w:p>
    <w:p w:rsidR="00AB073E" w:rsidRPr="00A95E01" w:rsidRDefault="00AB073E" w:rsidP="009E490A">
      <w:pPr>
        <w:spacing w:line="360" w:lineRule="auto"/>
        <w:jc w:val="both"/>
      </w:pPr>
      <w:r w:rsidRPr="00A95E01">
        <w:t xml:space="preserve">Concerning the variance of </w:t>
      </w:r>
      <w:r w:rsidRPr="00A95E01">
        <w:rPr>
          <w:i/>
        </w:rPr>
        <w:t>m</w:t>
      </w:r>
      <w:r w:rsidRPr="00A95E01">
        <w:rPr>
          <w:i/>
          <w:vertAlign w:val="subscript"/>
        </w:rPr>
        <w:t>sample</w:t>
      </w:r>
      <w:r w:rsidRPr="00A95E01">
        <w:t xml:space="preserve"> </w:t>
      </w:r>
      <w:r w:rsidR="009A274C" w:rsidRPr="00A95E01">
        <w:t>in Eq.</w:t>
      </w:r>
      <w:r w:rsidRPr="00A95E01">
        <w:t xml:space="preserve"> </w:t>
      </w:r>
      <w:r w:rsidR="009A274C" w:rsidRPr="00A95E01">
        <w:t>(</w:t>
      </w:r>
      <w:r w:rsidRPr="00A95E01">
        <w:t>15</w:t>
      </w:r>
      <w:r w:rsidR="009A274C" w:rsidRPr="00A95E01">
        <w:t>)</w:t>
      </w:r>
      <w:r w:rsidRPr="00A95E01">
        <w:t xml:space="preserve">, it was estimated from the </w:t>
      </w:r>
      <w:r w:rsidRPr="00A95E01">
        <w:rPr>
          <w:i/>
        </w:rPr>
        <w:t>MPE</w:t>
      </w:r>
      <w:r w:rsidRPr="00A95E01">
        <w:t xml:space="preserve"> of the scale in the 0-50 g range (1 mg) and the expected uniform distribution law for weighing:</w:t>
      </w:r>
    </w:p>
    <w:p w:rsidR="00AB073E" w:rsidRPr="00A95E01" w:rsidRDefault="00257004" w:rsidP="009E490A">
      <w:pPr>
        <w:spacing w:line="360" w:lineRule="auto"/>
        <w:jc w:val="center"/>
      </w:pPr>
      <m:oMath>
        <m:sSubSup>
          <m:sSubSupPr>
            <m:ctrlPr>
              <w:rPr>
                <w:rFonts w:ascii="Cambria Math" w:hAnsi="Cambria Math"/>
                <w:i/>
              </w:rPr>
            </m:ctrlPr>
          </m:sSubSupPr>
          <m:e>
            <m:r>
              <w:rPr>
                <w:rFonts w:ascii="Cambria Math" w:hAnsi="Cambria Math"/>
              </w:rPr>
              <m:t>u</m:t>
            </m:r>
          </m:e>
          <m:sub>
            <m:r>
              <w:rPr>
                <w:rFonts w:ascii="Cambria Math" w:hAnsi="Cambria Math"/>
              </w:rPr>
              <m:t>r</m:t>
            </m:r>
          </m:sub>
          <m:sup>
            <m:r>
              <w:rPr>
                <w:rFonts w:ascii="Cambria Math" w:hAnsi="Cambria Math"/>
              </w:rPr>
              <m:t>2</m:t>
            </m:r>
          </m:sup>
        </m:sSubSup>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sample</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f>
          <m:fPr>
            <m:ctrlPr>
              <w:rPr>
                <w:rFonts w:ascii="Cambria Math" w:hAnsi="Cambria Math"/>
                <w:i/>
              </w:rPr>
            </m:ctrlPr>
          </m:fPr>
          <m:num>
            <m:sSup>
              <m:sSupPr>
                <m:ctrlPr>
                  <w:rPr>
                    <w:rFonts w:ascii="Cambria Math" w:hAnsi="Cambria Math"/>
                    <w:i/>
                  </w:rPr>
                </m:ctrlPr>
              </m:sSupPr>
              <m:e>
                <m:r>
                  <w:rPr>
                    <w:rFonts w:ascii="Cambria Math" w:hAnsi="Cambria Math"/>
                  </w:rPr>
                  <m:t>MPE</m:t>
                </m:r>
              </m:e>
              <m:sup>
                <m:r>
                  <w:rPr>
                    <w:rFonts w:ascii="Cambria Math" w:hAnsi="Cambria Math"/>
                  </w:rPr>
                  <m:t>2</m:t>
                </m:r>
              </m:sup>
            </m:sSup>
          </m:num>
          <m:den>
            <m:sSubSup>
              <m:sSubSupPr>
                <m:ctrlPr>
                  <w:rPr>
                    <w:rFonts w:ascii="Cambria Math" w:hAnsi="Cambria Math"/>
                    <w:i/>
                  </w:rPr>
                </m:ctrlPr>
              </m:sSubSupPr>
              <m:e>
                <m:r>
                  <w:rPr>
                    <w:rFonts w:ascii="Cambria Math" w:hAnsi="Cambria Math"/>
                  </w:rPr>
                  <m:t>m</m:t>
                </m:r>
              </m:e>
              <m:sub>
                <m:r>
                  <w:rPr>
                    <w:rFonts w:ascii="Cambria Math" w:hAnsi="Cambria Math"/>
                  </w:rPr>
                  <m:t>sample</m:t>
                </m:r>
              </m:sub>
              <m:sup>
                <m:r>
                  <w:rPr>
                    <w:rFonts w:ascii="Cambria Math" w:hAnsi="Cambria Math"/>
                  </w:rPr>
                  <m:t>2</m:t>
                </m:r>
              </m:sup>
            </m:sSubSup>
          </m:den>
        </m:f>
        <m:r>
          <w:rPr>
            <w:rFonts w:ascii="Cambria Math" w:hAnsi="Cambria Math"/>
          </w:rPr>
          <m:t xml:space="preserve">   </m:t>
        </m:r>
      </m:oMath>
      <w:r w:rsidR="00915D6C" w:rsidRPr="00A95E01">
        <w:tab/>
      </w:r>
      <w:r w:rsidR="00915D6C" w:rsidRPr="00A95E01">
        <w:tab/>
      </w:r>
      <w:r w:rsidR="00AB073E" w:rsidRPr="00A95E01">
        <w:t>(15)</w:t>
      </w:r>
    </w:p>
    <w:p w:rsidR="00AB073E" w:rsidRPr="00A95E01" w:rsidRDefault="00AB073E" w:rsidP="009E490A">
      <w:pPr>
        <w:spacing w:line="360" w:lineRule="auto"/>
        <w:jc w:val="both"/>
      </w:pPr>
      <w:r w:rsidRPr="00A95E01">
        <w:t>Which becomes:</w:t>
      </w:r>
    </w:p>
    <w:p w:rsidR="00AB073E" w:rsidRPr="00A95E01" w:rsidRDefault="00257004" w:rsidP="009E490A">
      <w:pPr>
        <w:spacing w:line="360" w:lineRule="auto"/>
        <w:jc w:val="both"/>
      </w:pPr>
      <m:oMathPara>
        <m:oMath>
          <m:sSub>
            <m:sSubPr>
              <m:ctrlPr>
                <w:rPr>
                  <w:rFonts w:ascii="Cambria Math" w:hAnsi="Cambria Math"/>
                  <w:i/>
                </w:rPr>
              </m:ctrlPr>
            </m:sSubPr>
            <m:e>
              <m:r>
                <w:rPr>
                  <w:rFonts w:ascii="Cambria Math" w:hAnsi="Cambria Math"/>
                </w:rPr>
                <m:t>u</m:t>
              </m:r>
            </m:e>
            <m:sub>
              <m:r>
                <w:rPr>
                  <w:rFonts w:ascii="Cambria Math" w:hAnsi="Cambria Math"/>
                </w:rPr>
                <m:t>r</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sample</m:t>
                  </m:r>
                </m:sub>
              </m:sSub>
            </m:e>
          </m: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m:t>
                  </m:r>
                </m:e>
              </m:ra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4250</m:t>
              </m:r>
            </m:den>
          </m:f>
          <m:r>
            <w:rPr>
              <w:rFonts w:ascii="Cambria Math" w:hAnsi="Cambria Math"/>
            </w:rPr>
            <m:t>=0.014%</m:t>
          </m:r>
        </m:oMath>
      </m:oMathPara>
    </w:p>
    <w:p w:rsidR="00AB073E" w:rsidRPr="00A95E01" w:rsidRDefault="00AB073E" w:rsidP="009E490A">
      <w:pPr>
        <w:spacing w:line="360" w:lineRule="auto"/>
        <w:jc w:val="both"/>
      </w:pPr>
      <w:r w:rsidRPr="00A95E01">
        <w:t xml:space="preserve">The variance on </w:t>
      </w:r>
      <w:r w:rsidRPr="00A95E01">
        <w:rPr>
          <w:i/>
        </w:rPr>
        <w:t>DF</w:t>
      </w:r>
      <w:r w:rsidRPr="00A95E01">
        <w:t xml:space="preserve"> has already been discussed and the numerical value of the relative uncertainty is:</w:t>
      </w:r>
    </w:p>
    <w:p w:rsidR="00AB073E" w:rsidRPr="00A95E01" w:rsidRDefault="00257004" w:rsidP="00915D6C">
      <w:pPr>
        <w:spacing w:line="360" w:lineRule="auto"/>
        <w:jc w:val="center"/>
      </w:pPr>
      <m:oMathPara>
        <m:oMath>
          <m:sSub>
            <m:sSubPr>
              <m:ctrlPr>
                <w:rPr>
                  <w:rFonts w:ascii="Cambria Math" w:hAnsi="Cambria Math"/>
                  <w:i/>
                </w:rPr>
              </m:ctrlPr>
            </m:sSubPr>
            <m:e>
              <m:r>
                <w:rPr>
                  <w:rFonts w:ascii="Cambria Math" w:hAnsi="Cambria Math"/>
                </w:rPr>
                <m:t>u</m:t>
              </m:r>
            </m:e>
            <m:sub>
              <m:r>
                <w:rPr>
                  <w:rFonts w:ascii="Cambria Math" w:hAnsi="Cambria Math"/>
                </w:rPr>
                <m:t>r</m:t>
              </m:r>
            </m:sub>
          </m:sSub>
          <m:d>
            <m:dPr>
              <m:ctrlPr>
                <w:rPr>
                  <w:rFonts w:ascii="Cambria Math" w:hAnsi="Cambria Math"/>
                  <w:i/>
                </w:rPr>
              </m:ctrlPr>
            </m:dPr>
            <m:e>
              <m:r>
                <w:rPr>
                  <w:rFonts w:ascii="Cambria Math" w:hAnsi="Cambria Math"/>
                </w:rPr>
                <m:t>DF</m:t>
              </m:r>
            </m:e>
          </m:d>
          <m:r>
            <w:rPr>
              <w:rFonts w:ascii="Cambria Math" w:hAnsi="Cambria Math"/>
            </w:rPr>
            <m:t>=0.008%</m:t>
          </m:r>
        </m:oMath>
      </m:oMathPara>
    </w:p>
    <w:p w:rsidR="00AB073E" w:rsidRPr="00A95E01" w:rsidRDefault="00AB073E" w:rsidP="009E490A">
      <w:pPr>
        <w:spacing w:line="360" w:lineRule="auto"/>
        <w:jc w:val="both"/>
      </w:pPr>
      <w:r w:rsidRPr="00A95E01">
        <w:t>The relative standard uncertainty on Pu concentrations is then a combination of these three variances (cf. Eq</w:t>
      </w:r>
      <w:r w:rsidR="00915D6C" w:rsidRPr="00A95E01">
        <w:t>.</w:t>
      </w:r>
      <w:r w:rsidRPr="00A95E01">
        <w:t xml:space="preserve"> </w:t>
      </w:r>
      <w:r w:rsidR="00915D6C" w:rsidRPr="00A95E01">
        <w:t>(</w:t>
      </w:r>
      <w:r w:rsidRPr="00A95E01">
        <w:t>13</w:t>
      </w:r>
      <w:r w:rsidR="00915D6C" w:rsidRPr="00A95E01">
        <w:t>)</w:t>
      </w:r>
      <w:r w:rsidRPr="00A95E01">
        <w:t>):</w:t>
      </w:r>
    </w:p>
    <w:p w:rsidR="00AB073E" w:rsidRPr="00A95E01" w:rsidRDefault="00257004" w:rsidP="009E490A">
      <w:pPr>
        <w:spacing w:line="360" w:lineRule="auto"/>
        <w:jc w:val="both"/>
      </w:pPr>
      <m:oMathPara>
        <m:oMath>
          <m:sSub>
            <m:sSubPr>
              <m:ctrlPr>
                <w:rPr>
                  <w:rFonts w:ascii="Cambria Math" w:hAnsi="Cambria Math"/>
                  <w:i/>
                </w:rPr>
              </m:ctrlPr>
            </m:sSubPr>
            <m:e>
              <m:r>
                <w:rPr>
                  <w:rFonts w:ascii="Cambria Math" w:hAnsi="Cambria Math"/>
                </w:rPr>
                <m:t>u</m:t>
              </m:r>
            </m:e>
            <m:sub>
              <m:r>
                <w:rPr>
                  <w:rFonts w:ascii="Cambria Math" w:hAnsi="Cambria Math"/>
                </w:rPr>
                <m:t>r</m:t>
              </m:r>
            </m:sub>
          </m:sSub>
          <m:d>
            <m:dPr>
              <m:ctrlPr>
                <w:rPr>
                  <w:rFonts w:ascii="Cambria Math" w:hAnsi="Cambria Math"/>
                  <w:i/>
                </w:rPr>
              </m:ctrlPr>
            </m:dPr>
            <m:e>
              <m:d>
                <m:dPr>
                  <m:begChr m:val="["/>
                  <m:endChr m:val="]"/>
                  <m:ctrlPr>
                    <w:rPr>
                      <w:rFonts w:ascii="Cambria Math" w:hAnsi="Cambria Math"/>
                      <w:i/>
                    </w:rPr>
                  </m:ctrlPr>
                </m:dPr>
                <m:e>
                  <m:r>
                    <w:rPr>
                      <w:rFonts w:ascii="Cambria Math" w:hAnsi="Cambria Math"/>
                    </w:rPr>
                    <m:t>Pu</m:t>
                  </m:r>
                </m:e>
              </m:d>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0.040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0.014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0.008</m:t>
                  </m:r>
                </m:e>
                <m:sup>
                  <m:r>
                    <w:rPr>
                      <w:rFonts w:ascii="Cambria Math" w:hAnsi="Cambria Math"/>
                    </w:rPr>
                    <m:t>2</m:t>
                  </m:r>
                </m:sup>
              </m:sSup>
            </m:e>
          </m:rad>
          <m:r>
            <w:rPr>
              <w:rFonts w:ascii="Cambria Math" w:hAnsi="Cambria Math"/>
            </w:rPr>
            <m:t>=0.043%</m:t>
          </m:r>
        </m:oMath>
      </m:oMathPara>
    </w:p>
    <w:p w:rsidR="00AB073E" w:rsidRPr="00A95E01" w:rsidRDefault="00AB073E" w:rsidP="009E490A">
      <w:pPr>
        <w:spacing w:line="360" w:lineRule="auto"/>
        <w:jc w:val="both"/>
      </w:pPr>
      <w:r w:rsidRPr="00A95E01">
        <w:t>From this, it is possible to calculate each element’s contribution to the uncertainty budget. The major contributor to the uncertainty budget is the measurement of the quantity of electricity (86%), followed by the contribution of the weighing of the sample (11%) and that of the dilution factor (3%) (as seen in Fig</w:t>
      </w:r>
      <w:r w:rsidR="00915D6C" w:rsidRPr="00A95E01">
        <w:t>.</w:t>
      </w:r>
      <w:r w:rsidRPr="00A95E01">
        <w:t> 4).</w:t>
      </w:r>
    </w:p>
    <w:p w:rsidR="00AB073E" w:rsidRPr="00A95E01" w:rsidRDefault="00AB073E" w:rsidP="00915D6C">
      <w:pPr>
        <w:spacing w:line="360" w:lineRule="auto"/>
        <w:jc w:val="center"/>
      </w:pPr>
      <w:r w:rsidRPr="00A95E01">
        <w:t xml:space="preserve"> </w:t>
      </w:r>
      <w:r w:rsidRPr="00A95E01">
        <w:rPr>
          <w:noProof/>
          <w:lang w:val="fr-FR" w:eastAsia="fr-FR"/>
        </w:rPr>
        <w:drawing>
          <wp:inline distT="0" distB="0" distL="0" distR="0" wp14:anchorId="2513FAB9" wp14:editId="0A8663ED">
            <wp:extent cx="3266440" cy="27324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6440" cy="2732405"/>
                    </a:xfrm>
                    <a:prstGeom prst="rect">
                      <a:avLst/>
                    </a:prstGeom>
                    <a:noFill/>
                    <a:ln>
                      <a:noFill/>
                    </a:ln>
                  </pic:spPr>
                </pic:pic>
              </a:graphicData>
            </a:graphic>
          </wp:inline>
        </w:drawing>
      </w:r>
    </w:p>
    <w:p w:rsidR="00AB073E" w:rsidRPr="00A95E01" w:rsidRDefault="00AB073E" w:rsidP="00915D6C">
      <w:pPr>
        <w:spacing w:line="360" w:lineRule="auto"/>
        <w:jc w:val="center"/>
      </w:pPr>
      <w:r w:rsidRPr="00A95E01">
        <w:rPr>
          <w:b/>
        </w:rPr>
        <w:t>Fig</w:t>
      </w:r>
      <w:r w:rsidR="00915D6C" w:rsidRPr="00A95E01">
        <w:rPr>
          <w:b/>
        </w:rPr>
        <w:t>.</w:t>
      </w:r>
      <w:r w:rsidRPr="00A95E01">
        <w:rPr>
          <w:b/>
        </w:rPr>
        <w:t xml:space="preserve"> 4</w:t>
      </w:r>
      <w:r w:rsidRPr="00A95E01">
        <w:t xml:space="preserve"> Uncertainty budget distribution between the measurement of the quantity of electricity, Q, the dilution factor, DF, and the sample mass, m</w:t>
      </w:r>
      <w:r w:rsidRPr="00A95E01">
        <w:rPr>
          <w:vertAlign w:val="subscript"/>
        </w:rPr>
        <w:t>sample</w:t>
      </w:r>
    </w:p>
    <w:p w:rsidR="00AB073E" w:rsidRPr="00A95E01" w:rsidRDefault="00AB073E" w:rsidP="009E490A">
      <w:pPr>
        <w:spacing w:line="360" w:lineRule="auto"/>
        <w:jc w:val="both"/>
      </w:pPr>
      <w:r w:rsidRPr="00A95E01">
        <w:t>It can be seen from Fig</w:t>
      </w:r>
      <w:r w:rsidR="00915D6C" w:rsidRPr="00A95E01">
        <w:t>.</w:t>
      </w:r>
      <w:r w:rsidRPr="00A95E01">
        <w:t xml:space="preserve"> 4 that the weighing operations, if they are properly conducted, are not detrimental to the accuracy of CPC measurements (14% of the uncertainty budget). However, the quality of the measurement of the quantity of electricity, and, most importantly, the stability of the blank response, are particularly important to the accuracy of the performed analytical measurements.</w:t>
      </w:r>
    </w:p>
    <w:p w:rsidR="00AB073E" w:rsidRPr="00A95E01" w:rsidRDefault="00AB073E" w:rsidP="000D7B2E">
      <w:pPr>
        <w:pStyle w:val="JRNCBody"/>
        <w:rPr>
          <w:lang w:val="en-US"/>
        </w:rPr>
      </w:pPr>
      <w:r w:rsidRPr="00A95E01">
        <w:rPr>
          <w:sz w:val="28"/>
          <w:szCs w:val="24"/>
          <w:lang w:val="en-US"/>
        </w:rPr>
        <w:t>Uncertainty calculations by the Monte Carlo Method</w:t>
      </w:r>
    </w:p>
    <w:p w:rsidR="00AB073E" w:rsidRPr="00A95E01" w:rsidRDefault="00AB073E" w:rsidP="0046673F">
      <w:pPr>
        <w:spacing w:line="360" w:lineRule="auto"/>
        <w:jc w:val="both"/>
      </w:pPr>
      <w:r w:rsidRPr="00A95E01">
        <w:t>The Monte Carlo Method (MCM) for the evaluation of measurement uncertainty is based on the propagation of probability distributions</w:t>
      </w:r>
      <w:r w:rsidR="00056B41" w:rsidRPr="00056B41">
        <w:t>[11, 24, 25]</w:t>
      </w:r>
      <w:r w:rsidRPr="00A95E01">
        <w:t>. This method is a practical alternative to the GUM classical approach and is of greater advantage when:</w:t>
      </w:r>
    </w:p>
    <w:p w:rsidR="00AB073E" w:rsidRPr="00A95E01" w:rsidRDefault="00AB073E" w:rsidP="0046673F">
      <w:pPr>
        <w:spacing w:line="360" w:lineRule="auto"/>
        <w:jc w:val="both"/>
      </w:pPr>
      <w:r w:rsidRPr="00A95E01">
        <w:lastRenderedPageBreak/>
        <w:t>- the measurand mathematical model is complicated and introduces errors due to both linearization and difficulty to provide the partial derivatives of the model.</w:t>
      </w:r>
    </w:p>
    <w:p w:rsidR="00AB073E" w:rsidRPr="00A95E01" w:rsidRDefault="00AB073E" w:rsidP="0046673F">
      <w:pPr>
        <w:spacing w:line="360" w:lineRule="auto"/>
        <w:jc w:val="both"/>
      </w:pPr>
      <w:r w:rsidRPr="00A95E01">
        <w:t>- the uncertainties of the input variables are not of the same magnitude.</w:t>
      </w:r>
    </w:p>
    <w:p w:rsidR="003A7986" w:rsidRPr="00A95E01" w:rsidRDefault="00AB073E" w:rsidP="003A7986">
      <w:pPr>
        <w:spacing w:line="360" w:lineRule="auto"/>
        <w:jc w:val="both"/>
      </w:pPr>
      <w:r w:rsidRPr="00A95E01">
        <w:t xml:space="preserve">This approach is actually more appropriate for the estimation of the uncertainties of </w:t>
      </w:r>
      <w:r w:rsidRPr="00A95E01">
        <w:rPr>
          <w:i/>
        </w:rPr>
        <w:t>f</w:t>
      </w:r>
      <w:r w:rsidRPr="00A95E01">
        <w:t xml:space="preserve"> and </w:t>
      </w:r>
      <w:r w:rsidRPr="00A95E01">
        <w:rPr>
          <w:i/>
        </w:rPr>
        <w:t>m</w:t>
      </w:r>
      <w:r w:rsidRPr="00A95E01">
        <w:rPr>
          <w:i/>
          <w:vertAlign w:val="subscript"/>
        </w:rPr>
        <w:t>Pu</w:t>
      </w:r>
      <w:r w:rsidRPr="00A95E01">
        <w:t xml:space="preserve"> since their expressions are non-linear and because the uncertainties of the different input variables are not of the same order, as one can note in Table 7.</w:t>
      </w:r>
      <w:r w:rsidRPr="00A95E01">
        <w:fldChar w:fldCharType="begin"/>
      </w:r>
      <w:r w:rsidRPr="00A95E01">
        <w:instrText xml:space="preserve"> LINK </w:instrText>
      </w:r>
      <w:r w:rsidR="003A7986" w:rsidRPr="00A95E01">
        <w:instrText xml:space="preserve">Excel.Sheet.12 C:\\Users\\sp149420\\Desktop\\PubliCoulométrie\\MCM_Paramètres.xlsx Feuil1!L1C1:L17C4 </w:instrText>
      </w:r>
      <w:r w:rsidRPr="00A95E01">
        <w:instrText xml:space="preserve">\a \f 5 \h  \* MERGEFORMAT </w:instrText>
      </w:r>
      <w:r w:rsidRPr="00A95E01">
        <w:fldChar w:fldCharType="separate"/>
      </w:r>
    </w:p>
    <w:tbl>
      <w:tblPr>
        <w:tblW w:w="6177" w:type="dxa"/>
        <w:jc w:val="center"/>
        <w:tblLook w:val="04A0" w:firstRow="1" w:lastRow="0" w:firstColumn="1" w:lastColumn="0" w:noHBand="0" w:noVBand="1"/>
      </w:tblPr>
      <w:tblGrid>
        <w:gridCol w:w="2127"/>
        <w:gridCol w:w="1476"/>
        <w:gridCol w:w="1296"/>
        <w:gridCol w:w="1420"/>
      </w:tblGrid>
      <w:tr w:rsidR="00640F63" w:rsidRPr="00A95E01" w:rsidTr="00640F63">
        <w:trPr>
          <w:trHeight w:val="300"/>
          <w:jc w:val="center"/>
        </w:trPr>
        <w:tc>
          <w:tcPr>
            <w:tcW w:w="2127" w:type="dxa"/>
            <w:tcBorders>
              <w:top w:val="single" w:sz="4" w:space="0" w:color="auto"/>
              <w:bottom w:val="single" w:sz="4" w:space="0" w:color="auto"/>
            </w:tcBorders>
            <w:noWrap/>
            <w:hideMark/>
          </w:tcPr>
          <w:p w:rsidR="00640F63" w:rsidRPr="00517754" w:rsidRDefault="00640F63" w:rsidP="00640F63">
            <w:r w:rsidRPr="00517754">
              <w:t>input variables</w:t>
            </w:r>
          </w:p>
        </w:tc>
        <w:tc>
          <w:tcPr>
            <w:tcW w:w="1334" w:type="dxa"/>
            <w:tcBorders>
              <w:top w:val="single" w:sz="4" w:space="0" w:color="auto"/>
              <w:bottom w:val="single" w:sz="4" w:space="0" w:color="auto"/>
            </w:tcBorders>
            <w:noWrap/>
            <w:hideMark/>
          </w:tcPr>
          <w:p w:rsidR="00640F63" w:rsidRPr="00517754" w:rsidRDefault="00640F63" w:rsidP="00640F63">
            <w:r w:rsidRPr="00517754">
              <w:t>value</w:t>
            </w:r>
          </w:p>
        </w:tc>
        <w:tc>
          <w:tcPr>
            <w:tcW w:w="1296" w:type="dxa"/>
            <w:tcBorders>
              <w:top w:val="single" w:sz="4" w:space="0" w:color="auto"/>
              <w:bottom w:val="single" w:sz="4" w:space="0" w:color="auto"/>
            </w:tcBorders>
            <w:noWrap/>
            <w:hideMark/>
          </w:tcPr>
          <w:p w:rsidR="00640F63" w:rsidRPr="00517754" w:rsidRDefault="00640F63" w:rsidP="00640F63">
            <w:r w:rsidRPr="00517754">
              <w:t>standard uncertainty (k=1)</w:t>
            </w:r>
          </w:p>
        </w:tc>
        <w:tc>
          <w:tcPr>
            <w:tcW w:w="1420" w:type="dxa"/>
            <w:tcBorders>
              <w:top w:val="single" w:sz="4" w:space="0" w:color="auto"/>
              <w:bottom w:val="single" w:sz="4" w:space="0" w:color="auto"/>
            </w:tcBorders>
            <w:noWrap/>
            <w:hideMark/>
          </w:tcPr>
          <w:p w:rsidR="00640F63" w:rsidRPr="00517754" w:rsidRDefault="00640F63" w:rsidP="00640F63">
            <w:r w:rsidRPr="00517754">
              <w:t>assumed distribution</w:t>
            </w:r>
          </w:p>
        </w:tc>
      </w:tr>
      <w:tr w:rsidR="00640F63" w:rsidRPr="00A95E01" w:rsidTr="00640F63">
        <w:trPr>
          <w:trHeight w:val="360"/>
          <w:jc w:val="center"/>
        </w:trPr>
        <w:tc>
          <w:tcPr>
            <w:tcW w:w="2127" w:type="dxa"/>
            <w:tcBorders>
              <w:top w:val="single" w:sz="4" w:space="0" w:color="auto"/>
            </w:tcBorders>
            <w:noWrap/>
            <w:hideMark/>
          </w:tcPr>
          <w:p w:rsidR="00640F63" w:rsidRPr="00517754" w:rsidRDefault="00640F63" w:rsidP="00640F63">
            <w:r w:rsidRPr="00517754">
              <w:t>Q</w:t>
            </w:r>
            <w:r w:rsidRPr="008C1ED1">
              <w:rPr>
                <w:vertAlign w:val="subscript"/>
              </w:rPr>
              <w:t>1</w:t>
            </w:r>
            <w:r w:rsidRPr="00517754">
              <w:t xml:space="preserve"> (mC)</w:t>
            </w:r>
          </w:p>
        </w:tc>
        <w:tc>
          <w:tcPr>
            <w:tcW w:w="1334" w:type="dxa"/>
            <w:tcBorders>
              <w:top w:val="single" w:sz="4" w:space="0" w:color="auto"/>
            </w:tcBorders>
            <w:noWrap/>
            <w:hideMark/>
          </w:tcPr>
          <w:p w:rsidR="00640F63" w:rsidRPr="00517754" w:rsidRDefault="00640F63" w:rsidP="00640F63">
            <w:r w:rsidRPr="00517754">
              <w:t>11.0</w:t>
            </w:r>
          </w:p>
        </w:tc>
        <w:tc>
          <w:tcPr>
            <w:tcW w:w="1296" w:type="dxa"/>
            <w:tcBorders>
              <w:top w:val="single" w:sz="4" w:space="0" w:color="auto"/>
            </w:tcBorders>
            <w:noWrap/>
            <w:hideMark/>
          </w:tcPr>
          <w:p w:rsidR="00640F63" w:rsidRPr="00517754" w:rsidRDefault="00640F63" w:rsidP="00640F63">
            <w:r w:rsidRPr="00517754">
              <w:t>0.5</w:t>
            </w:r>
          </w:p>
        </w:tc>
        <w:tc>
          <w:tcPr>
            <w:tcW w:w="1420" w:type="dxa"/>
            <w:tcBorders>
              <w:top w:val="single" w:sz="4" w:space="0" w:color="auto"/>
            </w:tcBorders>
            <w:noWrap/>
            <w:hideMark/>
          </w:tcPr>
          <w:p w:rsidR="00640F63" w:rsidRPr="00517754" w:rsidRDefault="00640F63" w:rsidP="00640F63">
            <w:r w:rsidRPr="00517754">
              <w:t>normal</w:t>
            </w:r>
          </w:p>
        </w:tc>
      </w:tr>
      <w:tr w:rsidR="00640F63" w:rsidRPr="00A95E01" w:rsidTr="00640F63">
        <w:trPr>
          <w:trHeight w:val="360"/>
          <w:jc w:val="center"/>
        </w:trPr>
        <w:tc>
          <w:tcPr>
            <w:tcW w:w="2127" w:type="dxa"/>
            <w:noWrap/>
            <w:hideMark/>
          </w:tcPr>
          <w:p w:rsidR="00640F63" w:rsidRPr="00517754" w:rsidRDefault="00640F63" w:rsidP="00640F63">
            <w:r w:rsidRPr="00517754">
              <w:t>i</w:t>
            </w:r>
            <w:r w:rsidRPr="008C1ED1">
              <w:rPr>
                <w:vertAlign w:val="subscript"/>
              </w:rPr>
              <w:t>r1</w:t>
            </w:r>
            <w:r w:rsidRPr="00517754">
              <w:t xml:space="preserve"> (µA)</w:t>
            </w:r>
          </w:p>
        </w:tc>
        <w:tc>
          <w:tcPr>
            <w:tcW w:w="1334" w:type="dxa"/>
            <w:noWrap/>
            <w:hideMark/>
          </w:tcPr>
          <w:p w:rsidR="00640F63" w:rsidRPr="00517754" w:rsidRDefault="00640F63" w:rsidP="00640F63">
            <w:r w:rsidRPr="00517754">
              <w:t>3.0</w:t>
            </w:r>
          </w:p>
        </w:tc>
        <w:tc>
          <w:tcPr>
            <w:tcW w:w="1296" w:type="dxa"/>
            <w:noWrap/>
            <w:hideMark/>
          </w:tcPr>
          <w:p w:rsidR="00640F63" w:rsidRPr="00517754" w:rsidRDefault="00640F63" w:rsidP="00640F63">
            <w:r w:rsidRPr="00517754">
              <w:t>0.7</w:t>
            </w:r>
          </w:p>
        </w:tc>
        <w:tc>
          <w:tcPr>
            <w:tcW w:w="1420" w:type="dxa"/>
            <w:noWrap/>
            <w:hideMark/>
          </w:tcPr>
          <w:p w:rsidR="00640F63" w:rsidRPr="00517754" w:rsidRDefault="00640F63" w:rsidP="00640F63">
            <w:r w:rsidRPr="00517754">
              <w:t>normal</w:t>
            </w:r>
          </w:p>
        </w:tc>
      </w:tr>
      <w:tr w:rsidR="00640F63" w:rsidRPr="00A95E01" w:rsidTr="00640F63">
        <w:trPr>
          <w:trHeight w:val="360"/>
          <w:jc w:val="center"/>
        </w:trPr>
        <w:tc>
          <w:tcPr>
            <w:tcW w:w="2127" w:type="dxa"/>
            <w:noWrap/>
            <w:hideMark/>
          </w:tcPr>
          <w:p w:rsidR="00640F63" w:rsidRPr="00517754" w:rsidRDefault="00640F63" w:rsidP="00640F63">
            <w:r w:rsidRPr="00517754">
              <w:t>t</w:t>
            </w:r>
            <w:r w:rsidRPr="008C1ED1">
              <w:rPr>
                <w:vertAlign w:val="subscript"/>
              </w:rPr>
              <w:t>1</w:t>
            </w:r>
            <w:r w:rsidRPr="00517754">
              <w:t xml:space="preserve"> (s)</w:t>
            </w:r>
          </w:p>
        </w:tc>
        <w:tc>
          <w:tcPr>
            <w:tcW w:w="1334" w:type="dxa"/>
            <w:noWrap/>
            <w:hideMark/>
          </w:tcPr>
          <w:p w:rsidR="00640F63" w:rsidRPr="00517754" w:rsidRDefault="00640F63" w:rsidP="00640F63">
            <w:r w:rsidRPr="00517754">
              <w:t>410</w:t>
            </w:r>
          </w:p>
        </w:tc>
        <w:tc>
          <w:tcPr>
            <w:tcW w:w="1296" w:type="dxa"/>
            <w:noWrap/>
            <w:hideMark/>
          </w:tcPr>
          <w:p w:rsidR="00640F63" w:rsidRPr="00517754" w:rsidRDefault="00640F63" w:rsidP="00640F63">
            <w:r w:rsidRPr="00517754">
              <w:t>1</w:t>
            </w:r>
          </w:p>
        </w:tc>
        <w:tc>
          <w:tcPr>
            <w:tcW w:w="1420" w:type="dxa"/>
            <w:noWrap/>
            <w:hideMark/>
          </w:tcPr>
          <w:p w:rsidR="00640F63" w:rsidRPr="00517754" w:rsidRDefault="00640F63" w:rsidP="00640F63">
            <w:r w:rsidRPr="00517754">
              <w:t>uniform</w:t>
            </w:r>
          </w:p>
        </w:tc>
      </w:tr>
      <w:tr w:rsidR="00640F63" w:rsidRPr="00A95E01" w:rsidTr="00640F63">
        <w:trPr>
          <w:trHeight w:val="360"/>
          <w:jc w:val="center"/>
        </w:trPr>
        <w:tc>
          <w:tcPr>
            <w:tcW w:w="2127" w:type="dxa"/>
            <w:noWrap/>
            <w:hideMark/>
          </w:tcPr>
          <w:p w:rsidR="00640F63" w:rsidRPr="00517754" w:rsidRDefault="00640F63" w:rsidP="00640F63">
            <w:r w:rsidRPr="00517754">
              <w:t>Q</w:t>
            </w:r>
            <w:r w:rsidRPr="008C1ED1">
              <w:rPr>
                <w:vertAlign w:val="subscript"/>
              </w:rPr>
              <w:t>2</w:t>
            </w:r>
            <w:r w:rsidRPr="00517754">
              <w:t xml:space="preserve"> (mC)</w:t>
            </w:r>
          </w:p>
        </w:tc>
        <w:tc>
          <w:tcPr>
            <w:tcW w:w="1334" w:type="dxa"/>
            <w:noWrap/>
            <w:hideMark/>
          </w:tcPr>
          <w:p w:rsidR="00640F63" w:rsidRPr="00517754" w:rsidRDefault="00640F63" w:rsidP="00640F63">
            <w:r w:rsidRPr="00517754">
              <w:t>2553</w:t>
            </w:r>
          </w:p>
        </w:tc>
        <w:tc>
          <w:tcPr>
            <w:tcW w:w="1296" w:type="dxa"/>
            <w:noWrap/>
            <w:hideMark/>
          </w:tcPr>
          <w:p w:rsidR="00640F63" w:rsidRPr="00517754" w:rsidRDefault="00640F63" w:rsidP="00640F63">
            <w:r w:rsidRPr="00517754">
              <w:t>0.5</w:t>
            </w:r>
          </w:p>
        </w:tc>
        <w:tc>
          <w:tcPr>
            <w:tcW w:w="1420" w:type="dxa"/>
            <w:noWrap/>
            <w:hideMark/>
          </w:tcPr>
          <w:p w:rsidR="00640F63" w:rsidRPr="00517754" w:rsidRDefault="00640F63" w:rsidP="00640F63">
            <w:r w:rsidRPr="00517754">
              <w:t>normal</w:t>
            </w:r>
          </w:p>
        </w:tc>
      </w:tr>
      <w:tr w:rsidR="00640F63" w:rsidRPr="00A95E01" w:rsidTr="00640F63">
        <w:trPr>
          <w:trHeight w:val="360"/>
          <w:jc w:val="center"/>
        </w:trPr>
        <w:tc>
          <w:tcPr>
            <w:tcW w:w="2127" w:type="dxa"/>
            <w:noWrap/>
            <w:hideMark/>
          </w:tcPr>
          <w:p w:rsidR="00640F63" w:rsidRPr="00517754" w:rsidRDefault="00640F63" w:rsidP="00640F63">
            <w:r w:rsidRPr="00517754">
              <w:t>i</w:t>
            </w:r>
            <w:r w:rsidRPr="008C1ED1">
              <w:rPr>
                <w:vertAlign w:val="subscript"/>
              </w:rPr>
              <w:t>r2</w:t>
            </w:r>
            <w:r w:rsidRPr="00517754">
              <w:t xml:space="preserve"> (µA)</w:t>
            </w:r>
          </w:p>
        </w:tc>
        <w:tc>
          <w:tcPr>
            <w:tcW w:w="1334" w:type="dxa"/>
            <w:noWrap/>
            <w:hideMark/>
          </w:tcPr>
          <w:p w:rsidR="00640F63" w:rsidRPr="00517754" w:rsidRDefault="00640F63" w:rsidP="00640F63">
            <w:r w:rsidRPr="00517754">
              <w:t>4.0</w:t>
            </w:r>
          </w:p>
        </w:tc>
        <w:tc>
          <w:tcPr>
            <w:tcW w:w="1296" w:type="dxa"/>
            <w:noWrap/>
            <w:hideMark/>
          </w:tcPr>
          <w:p w:rsidR="00640F63" w:rsidRPr="00517754" w:rsidRDefault="00640F63" w:rsidP="00640F63">
            <w:r w:rsidRPr="00517754">
              <w:t>0.8</w:t>
            </w:r>
          </w:p>
        </w:tc>
        <w:tc>
          <w:tcPr>
            <w:tcW w:w="1420" w:type="dxa"/>
            <w:noWrap/>
            <w:hideMark/>
          </w:tcPr>
          <w:p w:rsidR="00640F63" w:rsidRPr="00517754" w:rsidRDefault="00640F63" w:rsidP="00640F63">
            <w:r w:rsidRPr="00517754">
              <w:t>normal</w:t>
            </w:r>
          </w:p>
        </w:tc>
      </w:tr>
      <w:tr w:rsidR="00640F63" w:rsidRPr="00A95E01" w:rsidTr="00640F63">
        <w:trPr>
          <w:trHeight w:val="360"/>
          <w:jc w:val="center"/>
        </w:trPr>
        <w:tc>
          <w:tcPr>
            <w:tcW w:w="2127" w:type="dxa"/>
            <w:noWrap/>
            <w:hideMark/>
          </w:tcPr>
          <w:p w:rsidR="00640F63" w:rsidRPr="00517754" w:rsidRDefault="00640F63" w:rsidP="00640F63">
            <w:r w:rsidRPr="00517754">
              <w:t>t</w:t>
            </w:r>
            <w:r w:rsidRPr="008C1ED1">
              <w:rPr>
                <w:vertAlign w:val="subscript"/>
              </w:rPr>
              <w:t>2</w:t>
            </w:r>
            <w:r w:rsidRPr="00517754">
              <w:t xml:space="preserve"> (s)</w:t>
            </w:r>
          </w:p>
        </w:tc>
        <w:tc>
          <w:tcPr>
            <w:tcW w:w="1334" w:type="dxa"/>
            <w:noWrap/>
            <w:hideMark/>
          </w:tcPr>
          <w:p w:rsidR="00640F63" w:rsidRPr="00517754" w:rsidRDefault="00640F63" w:rsidP="00640F63">
            <w:r w:rsidRPr="00517754">
              <w:t>865</w:t>
            </w:r>
          </w:p>
        </w:tc>
        <w:tc>
          <w:tcPr>
            <w:tcW w:w="1296" w:type="dxa"/>
            <w:noWrap/>
            <w:hideMark/>
          </w:tcPr>
          <w:p w:rsidR="00640F63" w:rsidRPr="00517754" w:rsidRDefault="00640F63" w:rsidP="00640F63">
            <w:r w:rsidRPr="00517754">
              <w:t>1</w:t>
            </w:r>
          </w:p>
        </w:tc>
        <w:tc>
          <w:tcPr>
            <w:tcW w:w="1420" w:type="dxa"/>
            <w:noWrap/>
            <w:hideMark/>
          </w:tcPr>
          <w:p w:rsidR="00640F63" w:rsidRPr="00517754" w:rsidRDefault="00640F63" w:rsidP="00640F63">
            <w:r w:rsidRPr="00517754">
              <w:t>uniform</w:t>
            </w:r>
          </w:p>
        </w:tc>
      </w:tr>
      <w:tr w:rsidR="00640F63" w:rsidRPr="00A95E01" w:rsidTr="00640F63">
        <w:trPr>
          <w:trHeight w:val="360"/>
          <w:jc w:val="center"/>
        </w:trPr>
        <w:tc>
          <w:tcPr>
            <w:tcW w:w="2127" w:type="dxa"/>
            <w:noWrap/>
            <w:hideMark/>
          </w:tcPr>
          <w:p w:rsidR="00640F63" w:rsidRPr="00517754" w:rsidRDefault="00640F63" w:rsidP="00640F63">
            <w:r w:rsidRPr="00517754">
              <w:t>M</w:t>
            </w:r>
            <w:r w:rsidRPr="008C1ED1">
              <w:rPr>
                <w:vertAlign w:val="subscript"/>
              </w:rPr>
              <w:t>Pu</w:t>
            </w:r>
            <w:r w:rsidRPr="00517754">
              <w:t xml:space="preserve"> (g/mol)</w:t>
            </w:r>
          </w:p>
        </w:tc>
        <w:tc>
          <w:tcPr>
            <w:tcW w:w="1334" w:type="dxa"/>
            <w:noWrap/>
            <w:hideMark/>
          </w:tcPr>
          <w:p w:rsidR="00640F63" w:rsidRPr="00517754" w:rsidRDefault="00640F63" w:rsidP="00640F63">
            <w:r w:rsidRPr="00517754">
              <w:t>239.07458</w:t>
            </w:r>
          </w:p>
        </w:tc>
        <w:tc>
          <w:tcPr>
            <w:tcW w:w="1296" w:type="dxa"/>
            <w:noWrap/>
            <w:hideMark/>
          </w:tcPr>
          <w:p w:rsidR="00640F63" w:rsidRPr="00517754" w:rsidRDefault="00640F63" w:rsidP="00640F63">
            <w:r w:rsidRPr="00517754">
              <w:t>0.00001</w:t>
            </w:r>
          </w:p>
        </w:tc>
        <w:tc>
          <w:tcPr>
            <w:tcW w:w="1420" w:type="dxa"/>
            <w:noWrap/>
            <w:hideMark/>
          </w:tcPr>
          <w:p w:rsidR="00640F63" w:rsidRPr="00517754" w:rsidRDefault="00640F63" w:rsidP="00640F63">
            <w:r w:rsidRPr="00517754">
              <w:t>normal</w:t>
            </w:r>
          </w:p>
        </w:tc>
      </w:tr>
      <w:tr w:rsidR="00640F63" w:rsidRPr="00A95E01" w:rsidTr="00640F63">
        <w:trPr>
          <w:trHeight w:val="300"/>
          <w:jc w:val="center"/>
        </w:trPr>
        <w:tc>
          <w:tcPr>
            <w:tcW w:w="2127" w:type="dxa"/>
            <w:noWrap/>
            <w:hideMark/>
          </w:tcPr>
          <w:p w:rsidR="00640F63" w:rsidRPr="00517754" w:rsidRDefault="00640F63" w:rsidP="00640F63">
            <w:r w:rsidRPr="00517754">
              <w:t>F (C/mol)</w:t>
            </w:r>
          </w:p>
        </w:tc>
        <w:tc>
          <w:tcPr>
            <w:tcW w:w="1334" w:type="dxa"/>
            <w:noWrap/>
            <w:hideMark/>
          </w:tcPr>
          <w:p w:rsidR="00640F63" w:rsidRPr="00517754" w:rsidRDefault="00640F63" w:rsidP="00640F63">
            <w:r w:rsidRPr="00517754">
              <w:t>96485.33212</w:t>
            </w:r>
          </w:p>
        </w:tc>
        <w:tc>
          <w:tcPr>
            <w:tcW w:w="1296" w:type="dxa"/>
            <w:noWrap/>
            <w:hideMark/>
          </w:tcPr>
          <w:p w:rsidR="00640F63" w:rsidRPr="00517754" w:rsidRDefault="00640F63" w:rsidP="00640F63">
            <w:r w:rsidRPr="00517754">
              <w:t>none</w:t>
            </w:r>
          </w:p>
        </w:tc>
        <w:tc>
          <w:tcPr>
            <w:tcW w:w="1420" w:type="dxa"/>
            <w:noWrap/>
            <w:hideMark/>
          </w:tcPr>
          <w:p w:rsidR="00640F63" w:rsidRPr="00517754" w:rsidRDefault="00640F63" w:rsidP="00640F63"/>
        </w:tc>
      </w:tr>
      <w:tr w:rsidR="00640F63" w:rsidRPr="00A95E01" w:rsidTr="00640F63">
        <w:trPr>
          <w:trHeight w:val="300"/>
          <w:jc w:val="center"/>
        </w:trPr>
        <w:tc>
          <w:tcPr>
            <w:tcW w:w="2127" w:type="dxa"/>
            <w:noWrap/>
            <w:hideMark/>
          </w:tcPr>
          <w:p w:rsidR="00640F63" w:rsidRPr="00517754" w:rsidRDefault="00640F63" w:rsidP="00640F63">
            <w:r w:rsidRPr="00517754">
              <w:t>R (J mol</w:t>
            </w:r>
            <w:r w:rsidRPr="003B5E4F">
              <w:rPr>
                <w:vertAlign w:val="superscript"/>
              </w:rPr>
              <w:t>-1</w:t>
            </w:r>
            <w:r w:rsidRPr="00517754">
              <w:t>K</w:t>
            </w:r>
            <w:r w:rsidRPr="003B5E4F">
              <w:rPr>
                <w:vertAlign w:val="superscript"/>
              </w:rPr>
              <w:t>-1</w:t>
            </w:r>
            <w:r w:rsidRPr="00517754">
              <w:t>)</w:t>
            </w:r>
          </w:p>
        </w:tc>
        <w:tc>
          <w:tcPr>
            <w:tcW w:w="1334" w:type="dxa"/>
            <w:noWrap/>
            <w:hideMark/>
          </w:tcPr>
          <w:p w:rsidR="00640F63" w:rsidRPr="00517754" w:rsidRDefault="00640F63" w:rsidP="00640F63">
            <w:r w:rsidRPr="00517754">
              <w:t>8.3144598</w:t>
            </w:r>
          </w:p>
        </w:tc>
        <w:tc>
          <w:tcPr>
            <w:tcW w:w="1296" w:type="dxa"/>
            <w:noWrap/>
            <w:hideMark/>
          </w:tcPr>
          <w:p w:rsidR="00640F63" w:rsidRPr="00517754" w:rsidRDefault="00640F63" w:rsidP="00640F63">
            <w:r w:rsidRPr="00517754">
              <w:t>none</w:t>
            </w:r>
          </w:p>
        </w:tc>
        <w:tc>
          <w:tcPr>
            <w:tcW w:w="1420" w:type="dxa"/>
            <w:noWrap/>
            <w:hideMark/>
          </w:tcPr>
          <w:p w:rsidR="00640F63" w:rsidRPr="00517754" w:rsidRDefault="00640F63" w:rsidP="00640F63"/>
        </w:tc>
      </w:tr>
      <w:tr w:rsidR="00640F63" w:rsidRPr="00A95E01" w:rsidTr="00640F63">
        <w:trPr>
          <w:trHeight w:val="300"/>
          <w:jc w:val="center"/>
        </w:trPr>
        <w:tc>
          <w:tcPr>
            <w:tcW w:w="2127" w:type="dxa"/>
            <w:noWrap/>
            <w:hideMark/>
          </w:tcPr>
          <w:p w:rsidR="00640F63" w:rsidRPr="00517754" w:rsidRDefault="00640F63" w:rsidP="00640F63">
            <w:r w:rsidRPr="00517754">
              <w:t>T (K)</w:t>
            </w:r>
          </w:p>
        </w:tc>
        <w:tc>
          <w:tcPr>
            <w:tcW w:w="1334" w:type="dxa"/>
            <w:noWrap/>
            <w:hideMark/>
          </w:tcPr>
          <w:p w:rsidR="00640F63" w:rsidRPr="00517754" w:rsidRDefault="00640F63" w:rsidP="00640F63">
            <w:r w:rsidRPr="00517754">
              <w:t>297</w:t>
            </w:r>
          </w:p>
        </w:tc>
        <w:tc>
          <w:tcPr>
            <w:tcW w:w="1296" w:type="dxa"/>
            <w:noWrap/>
            <w:hideMark/>
          </w:tcPr>
          <w:p w:rsidR="00640F63" w:rsidRPr="00517754" w:rsidRDefault="00640F63" w:rsidP="00640F63">
            <w:r w:rsidRPr="00517754">
              <w:t>1</w:t>
            </w:r>
          </w:p>
        </w:tc>
        <w:tc>
          <w:tcPr>
            <w:tcW w:w="1420" w:type="dxa"/>
            <w:noWrap/>
            <w:hideMark/>
          </w:tcPr>
          <w:p w:rsidR="00640F63" w:rsidRPr="00517754" w:rsidRDefault="00640F63" w:rsidP="00640F63">
            <w:r w:rsidRPr="00517754">
              <w:t>uniform</w:t>
            </w:r>
          </w:p>
        </w:tc>
      </w:tr>
      <w:tr w:rsidR="00640F63" w:rsidRPr="00A95E01" w:rsidTr="00640F63">
        <w:trPr>
          <w:trHeight w:val="300"/>
          <w:jc w:val="center"/>
        </w:trPr>
        <w:tc>
          <w:tcPr>
            <w:tcW w:w="2127" w:type="dxa"/>
            <w:noWrap/>
            <w:hideMark/>
          </w:tcPr>
          <w:p w:rsidR="00640F63" w:rsidRPr="00517754" w:rsidRDefault="00640F63" w:rsidP="00640F63">
            <w:r w:rsidRPr="00517754">
              <w:t>E°' (mV/ECS)</w:t>
            </w:r>
          </w:p>
        </w:tc>
        <w:tc>
          <w:tcPr>
            <w:tcW w:w="1334" w:type="dxa"/>
            <w:noWrap/>
            <w:hideMark/>
          </w:tcPr>
          <w:p w:rsidR="00640F63" w:rsidRPr="00517754" w:rsidRDefault="00640F63" w:rsidP="00640F63">
            <w:r w:rsidRPr="00517754">
              <w:t>671</w:t>
            </w:r>
          </w:p>
        </w:tc>
        <w:tc>
          <w:tcPr>
            <w:tcW w:w="1296" w:type="dxa"/>
            <w:noWrap/>
            <w:hideMark/>
          </w:tcPr>
          <w:p w:rsidR="00640F63" w:rsidRPr="00517754" w:rsidRDefault="00640F63" w:rsidP="00640F63">
            <w:r w:rsidRPr="00517754">
              <w:t>2</w:t>
            </w:r>
          </w:p>
        </w:tc>
        <w:tc>
          <w:tcPr>
            <w:tcW w:w="1420" w:type="dxa"/>
            <w:noWrap/>
            <w:hideMark/>
          </w:tcPr>
          <w:p w:rsidR="00640F63" w:rsidRPr="00517754" w:rsidRDefault="00640F63" w:rsidP="00640F63">
            <w:r w:rsidRPr="00517754">
              <w:t>normal</w:t>
            </w:r>
          </w:p>
        </w:tc>
      </w:tr>
      <w:tr w:rsidR="00640F63" w:rsidRPr="00A95E01" w:rsidTr="00640F63">
        <w:trPr>
          <w:trHeight w:val="360"/>
          <w:jc w:val="center"/>
        </w:trPr>
        <w:tc>
          <w:tcPr>
            <w:tcW w:w="2127" w:type="dxa"/>
            <w:noWrap/>
            <w:hideMark/>
          </w:tcPr>
          <w:p w:rsidR="00640F63" w:rsidRPr="00517754" w:rsidRDefault="00640F63" w:rsidP="00640F63">
            <w:r w:rsidRPr="00517754">
              <w:t>E</w:t>
            </w:r>
            <w:r w:rsidRPr="008C1ED1">
              <w:rPr>
                <w:vertAlign w:val="subscript"/>
              </w:rPr>
              <w:t>1</w:t>
            </w:r>
            <w:r w:rsidRPr="00517754">
              <w:t xml:space="preserve"> (mV/ECS)</w:t>
            </w:r>
          </w:p>
        </w:tc>
        <w:tc>
          <w:tcPr>
            <w:tcW w:w="1334" w:type="dxa"/>
            <w:noWrap/>
            <w:hideMark/>
          </w:tcPr>
          <w:p w:rsidR="00640F63" w:rsidRPr="00517754" w:rsidRDefault="00640F63" w:rsidP="00640F63">
            <w:r w:rsidRPr="00517754">
              <w:t>444.6</w:t>
            </w:r>
          </w:p>
        </w:tc>
        <w:tc>
          <w:tcPr>
            <w:tcW w:w="1296" w:type="dxa"/>
            <w:noWrap/>
            <w:hideMark/>
          </w:tcPr>
          <w:p w:rsidR="00640F63" w:rsidRPr="00517754" w:rsidRDefault="00640F63" w:rsidP="00640F63">
            <w:r w:rsidRPr="00517754">
              <w:t>0.4</w:t>
            </w:r>
          </w:p>
        </w:tc>
        <w:tc>
          <w:tcPr>
            <w:tcW w:w="1420" w:type="dxa"/>
            <w:noWrap/>
            <w:hideMark/>
          </w:tcPr>
          <w:p w:rsidR="00640F63" w:rsidRPr="00517754" w:rsidRDefault="00640F63" w:rsidP="00640F63">
            <w:r w:rsidRPr="00517754">
              <w:t>normal</w:t>
            </w:r>
          </w:p>
        </w:tc>
      </w:tr>
      <w:tr w:rsidR="00640F63" w:rsidRPr="00A95E01" w:rsidTr="00640F63">
        <w:trPr>
          <w:trHeight w:val="360"/>
          <w:jc w:val="center"/>
        </w:trPr>
        <w:tc>
          <w:tcPr>
            <w:tcW w:w="2127" w:type="dxa"/>
            <w:noWrap/>
            <w:hideMark/>
          </w:tcPr>
          <w:p w:rsidR="00640F63" w:rsidRPr="00517754" w:rsidRDefault="00640F63" w:rsidP="00640F63">
            <w:r w:rsidRPr="00517754">
              <w:t>E</w:t>
            </w:r>
            <w:r w:rsidRPr="008C1ED1">
              <w:rPr>
                <w:vertAlign w:val="subscript"/>
              </w:rPr>
              <w:t>2</w:t>
            </w:r>
            <w:r w:rsidRPr="00517754">
              <w:t xml:space="preserve"> (mV/ECS)</w:t>
            </w:r>
          </w:p>
        </w:tc>
        <w:tc>
          <w:tcPr>
            <w:tcW w:w="1334" w:type="dxa"/>
            <w:noWrap/>
            <w:hideMark/>
          </w:tcPr>
          <w:p w:rsidR="00640F63" w:rsidRPr="00517754" w:rsidRDefault="00640F63" w:rsidP="00640F63">
            <w:r w:rsidRPr="00517754">
              <w:t>903.8</w:t>
            </w:r>
          </w:p>
        </w:tc>
        <w:tc>
          <w:tcPr>
            <w:tcW w:w="1296" w:type="dxa"/>
            <w:noWrap/>
            <w:hideMark/>
          </w:tcPr>
          <w:p w:rsidR="00640F63" w:rsidRPr="00517754" w:rsidRDefault="00640F63" w:rsidP="00640F63">
            <w:r w:rsidRPr="00517754">
              <w:t>0.4</w:t>
            </w:r>
          </w:p>
        </w:tc>
        <w:tc>
          <w:tcPr>
            <w:tcW w:w="1420" w:type="dxa"/>
            <w:noWrap/>
            <w:hideMark/>
          </w:tcPr>
          <w:p w:rsidR="00640F63" w:rsidRPr="00517754" w:rsidRDefault="00640F63" w:rsidP="00640F63">
            <w:r w:rsidRPr="00517754">
              <w:t>normal</w:t>
            </w:r>
          </w:p>
        </w:tc>
      </w:tr>
      <w:tr w:rsidR="00640F63" w:rsidRPr="00A95E01" w:rsidTr="00640F63">
        <w:trPr>
          <w:trHeight w:val="360"/>
          <w:jc w:val="center"/>
        </w:trPr>
        <w:tc>
          <w:tcPr>
            <w:tcW w:w="2127" w:type="dxa"/>
            <w:noWrap/>
            <w:hideMark/>
          </w:tcPr>
          <w:p w:rsidR="00640F63" w:rsidRPr="00517754" w:rsidRDefault="00640F63" w:rsidP="00640F63">
            <w:r w:rsidRPr="00517754">
              <w:t>m</w:t>
            </w:r>
            <w:r w:rsidRPr="008C1ED1">
              <w:rPr>
                <w:vertAlign w:val="subscript"/>
              </w:rPr>
              <w:t>sample</w:t>
            </w:r>
            <w:r w:rsidRPr="00517754">
              <w:t xml:space="preserve"> (g)</w:t>
            </w:r>
          </w:p>
        </w:tc>
        <w:tc>
          <w:tcPr>
            <w:tcW w:w="1334" w:type="dxa"/>
            <w:noWrap/>
            <w:hideMark/>
          </w:tcPr>
          <w:p w:rsidR="00640F63" w:rsidRPr="00517754" w:rsidRDefault="00640F63" w:rsidP="00640F63">
            <w:r w:rsidRPr="00517754">
              <w:t>4.223</w:t>
            </w:r>
          </w:p>
        </w:tc>
        <w:tc>
          <w:tcPr>
            <w:tcW w:w="1296" w:type="dxa"/>
            <w:noWrap/>
            <w:hideMark/>
          </w:tcPr>
          <w:p w:rsidR="00640F63" w:rsidRPr="00517754" w:rsidRDefault="00640F63" w:rsidP="00640F63">
            <w:r w:rsidRPr="00517754">
              <w:t>0.0006</w:t>
            </w:r>
          </w:p>
        </w:tc>
        <w:tc>
          <w:tcPr>
            <w:tcW w:w="1420" w:type="dxa"/>
            <w:noWrap/>
            <w:hideMark/>
          </w:tcPr>
          <w:p w:rsidR="00640F63" w:rsidRPr="00517754" w:rsidRDefault="00640F63" w:rsidP="00640F63">
            <w:r w:rsidRPr="00517754">
              <w:t>uniform</w:t>
            </w:r>
          </w:p>
        </w:tc>
      </w:tr>
      <w:tr w:rsidR="00640F63" w:rsidRPr="00A95E01" w:rsidTr="00640F63">
        <w:trPr>
          <w:trHeight w:val="360"/>
          <w:jc w:val="center"/>
        </w:trPr>
        <w:tc>
          <w:tcPr>
            <w:tcW w:w="2127" w:type="dxa"/>
            <w:noWrap/>
            <w:hideMark/>
          </w:tcPr>
          <w:p w:rsidR="00640F63" w:rsidRPr="00517754" w:rsidRDefault="00640F63" w:rsidP="00640F63">
            <w:r w:rsidRPr="00517754">
              <w:t>m</w:t>
            </w:r>
            <w:r w:rsidRPr="008C1ED1">
              <w:rPr>
                <w:vertAlign w:val="subscript"/>
              </w:rPr>
              <w:t>EQRAIN</w:t>
            </w:r>
            <w:r w:rsidRPr="00517754">
              <w:t xml:space="preserve"> (g)</w:t>
            </w:r>
          </w:p>
        </w:tc>
        <w:tc>
          <w:tcPr>
            <w:tcW w:w="1334" w:type="dxa"/>
            <w:noWrap/>
            <w:hideMark/>
          </w:tcPr>
          <w:p w:rsidR="00640F63" w:rsidRPr="00517754" w:rsidRDefault="00640F63" w:rsidP="00640F63">
            <w:r w:rsidRPr="00517754">
              <w:t>15.122</w:t>
            </w:r>
          </w:p>
        </w:tc>
        <w:tc>
          <w:tcPr>
            <w:tcW w:w="1296" w:type="dxa"/>
            <w:noWrap/>
            <w:hideMark/>
          </w:tcPr>
          <w:p w:rsidR="00640F63" w:rsidRPr="00517754" w:rsidRDefault="00640F63" w:rsidP="00640F63">
            <w:r w:rsidRPr="00517754">
              <w:t>0.0012</w:t>
            </w:r>
          </w:p>
        </w:tc>
        <w:tc>
          <w:tcPr>
            <w:tcW w:w="1420" w:type="dxa"/>
            <w:noWrap/>
            <w:hideMark/>
          </w:tcPr>
          <w:p w:rsidR="00640F63" w:rsidRPr="00517754" w:rsidRDefault="00640F63" w:rsidP="00640F63">
            <w:r w:rsidRPr="00517754">
              <w:t>uniform</w:t>
            </w:r>
          </w:p>
        </w:tc>
      </w:tr>
      <w:tr w:rsidR="00640F63" w:rsidRPr="00A95E01" w:rsidTr="00640F63">
        <w:trPr>
          <w:trHeight w:val="360"/>
          <w:jc w:val="center"/>
        </w:trPr>
        <w:tc>
          <w:tcPr>
            <w:tcW w:w="2127" w:type="dxa"/>
            <w:tcBorders>
              <w:bottom w:val="single" w:sz="4" w:space="0" w:color="auto"/>
            </w:tcBorders>
            <w:noWrap/>
            <w:hideMark/>
          </w:tcPr>
          <w:p w:rsidR="00640F63" w:rsidRPr="00517754" w:rsidRDefault="00640F63" w:rsidP="00640F63">
            <w:r w:rsidRPr="00517754">
              <w:t>m</w:t>
            </w:r>
            <w:r w:rsidRPr="008C1ED1">
              <w:rPr>
                <w:vertAlign w:val="subscript"/>
              </w:rPr>
              <w:t>dil. EQRAIN</w:t>
            </w:r>
            <w:r w:rsidRPr="00517754">
              <w:t xml:space="preserve"> (g)</w:t>
            </w:r>
          </w:p>
        </w:tc>
        <w:tc>
          <w:tcPr>
            <w:tcW w:w="1334" w:type="dxa"/>
            <w:tcBorders>
              <w:bottom w:val="single" w:sz="4" w:space="0" w:color="auto"/>
            </w:tcBorders>
            <w:noWrap/>
            <w:hideMark/>
          </w:tcPr>
          <w:p w:rsidR="00640F63" w:rsidRPr="00517754" w:rsidRDefault="00640F63" w:rsidP="00640F63">
            <w:r w:rsidRPr="00517754">
              <w:t>56.226</w:t>
            </w:r>
          </w:p>
        </w:tc>
        <w:tc>
          <w:tcPr>
            <w:tcW w:w="1296" w:type="dxa"/>
            <w:tcBorders>
              <w:bottom w:val="single" w:sz="4" w:space="0" w:color="auto"/>
            </w:tcBorders>
            <w:noWrap/>
            <w:hideMark/>
          </w:tcPr>
          <w:p w:rsidR="00640F63" w:rsidRPr="00517754" w:rsidRDefault="00640F63" w:rsidP="00640F63">
            <w:r w:rsidRPr="00517754">
              <w:t>0.0012</w:t>
            </w:r>
          </w:p>
        </w:tc>
        <w:tc>
          <w:tcPr>
            <w:tcW w:w="1420" w:type="dxa"/>
            <w:tcBorders>
              <w:bottom w:val="single" w:sz="4" w:space="0" w:color="auto"/>
            </w:tcBorders>
            <w:noWrap/>
            <w:hideMark/>
          </w:tcPr>
          <w:p w:rsidR="00640F63" w:rsidRDefault="00640F63" w:rsidP="00640F63">
            <w:r w:rsidRPr="00517754">
              <w:t>uniform</w:t>
            </w:r>
          </w:p>
        </w:tc>
      </w:tr>
    </w:tbl>
    <w:p w:rsidR="00AB073E" w:rsidRPr="00A95E01" w:rsidRDefault="00AB073E" w:rsidP="0046673F">
      <w:pPr>
        <w:spacing w:line="360" w:lineRule="auto"/>
        <w:jc w:val="center"/>
      </w:pPr>
      <w:r w:rsidRPr="00A95E01">
        <w:fldChar w:fldCharType="end"/>
      </w:r>
      <w:r w:rsidRPr="00A95E01">
        <w:rPr>
          <w:b/>
        </w:rPr>
        <w:t>Table 7</w:t>
      </w:r>
      <w:r w:rsidRPr="00A95E01">
        <w:t xml:space="preserve"> Value, standard deviation, and distribution of input variables for the evaluation of measurement uncertainty by MCM (example data from experiment LF04 except for E°’ taken equal to the formal potential mean value</w:t>
      </w:r>
      <w:r w:rsidR="0046673F" w:rsidRPr="00A95E01">
        <w:t>)</w:t>
      </w:r>
    </w:p>
    <w:p w:rsidR="00AB073E" w:rsidRPr="00A95E01" w:rsidRDefault="00AB073E" w:rsidP="0046673F">
      <w:pPr>
        <w:spacing w:line="360" w:lineRule="auto"/>
        <w:jc w:val="both"/>
      </w:pPr>
      <w:r w:rsidRPr="00A95E01">
        <w:t xml:space="preserve">For MCM analysis, a great number of parameter values, </w:t>
      </w:r>
      <w:r w:rsidRPr="00A95E01">
        <w:rPr>
          <w:i/>
        </w:rPr>
        <w:t>N</w:t>
      </w:r>
      <w:r w:rsidRPr="00A95E01">
        <w:t xml:space="preserve">, are sampled at random from the distribution of the input quantities. If </w:t>
      </w:r>
      <w:r w:rsidRPr="00A95E01">
        <w:rPr>
          <w:i/>
        </w:rPr>
        <w:t>N</w:t>
      </w:r>
      <w:r w:rsidRPr="00A95E01">
        <w:t xml:space="preserve"> is large enough (usually N </w:t>
      </w:r>
      <w:r w:rsidRPr="00A95E01">
        <w:sym w:font="Symbol" w:char="F0B3"/>
      </w:r>
      <w:r w:rsidRPr="00A95E01">
        <w:t xml:space="preserve"> 10</w:t>
      </w:r>
      <w:r w:rsidRPr="00A95E01">
        <w:rPr>
          <w:vertAlign w:val="superscript"/>
        </w:rPr>
        <w:t>6</w:t>
      </w:r>
      <w:r w:rsidRPr="00A95E01">
        <w:t xml:space="preserve"> as recommended in the supplement 1 of GUM10), a probability density function for the measurement results can be traced. From this probability function, the parameters (expectation and variance) can be estimated. With MCM simulations, the coverage interval (</w:t>
      </w:r>
      <w:r w:rsidRPr="00A95E01">
        <w:rPr>
          <w:i/>
        </w:rPr>
        <w:t>CI</w:t>
      </w:r>
      <w:r w:rsidRPr="00A95E01">
        <w:t xml:space="preserve">) of the distribution comes directly from the probability density function of the </w:t>
      </w:r>
      <w:r w:rsidRPr="00A95E01">
        <w:lastRenderedPageBreak/>
        <w:t>measurement result. This is one of the main advantages of MCM when compared to the classical GUM approach, where a normal distribution assumption has to be made.</w:t>
      </w:r>
    </w:p>
    <w:p w:rsidR="00AB073E" w:rsidRPr="00A95E01" w:rsidRDefault="00AB073E" w:rsidP="0046673F">
      <w:pPr>
        <w:spacing w:line="360" w:lineRule="auto"/>
        <w:jc w:val="both"/>
      </w:pPr>
      <w:r w:rsidRPr="00A95E01">
        <w:t>For the MCM simulation studies, the full mathematical expression for the Pu mass fraction is presented in Eq</w:t>
      </w:r>
      <w:r w:rsidR="0046673F" w:rsidRPr="00A95E01">
        <w:t>.</w:t>
      </w:r>
      <w:r w:rsidRPr="00A95E01">
        <w:t xml:space="preserve"> </w:t>
      </w:r>
      <w:r w:rsidR="0046673F" w:rsidRPr="00A95E01">
        <w:t>(</w:t>
      </w:r>
      <w:r w:rsidRPr="00A95E01">
        <w:t>16</w:t>
      </w:r>
      <w:r w:rsidR="0046673F" w:rsidRPr="00A95E01">
        <w:t>)</w:t>
      </w:r>
      <w:r w:rsidRPr="00A95E01">
        <w:t>.</w:t>
      </w:r>
    </w:p>
    <w:p w:rsidR="00AB073E" w:rsidRPr="00A95E01" w:rsidRDefault="00257004" w:rsidP="0046673F">
      <w:pPr>
        <w:spacing w:line="360" w:lineRule="auto"/>
        <w:jc w:val="center"/>
      </w:pPr>
      <m:oMath>
        <m:d>
          <m:dPr>
            <m:begChr m:val="["/>
            <m:endChr m:val="]"/>
            <m:ctrlPr>
              <w:rPr>
                <w:rFonts w:ascii="Cambria Math" w:hAnsi="Cambria Math"/>
                <w:i/>
                <w:color w:val="000000" w:themeColor="text1"/>
                <w:kern w:val="24"/>
              </w:rPr>
            </m:ctrlPr>
          </m:dPr>
          <m:e>
            <m:r>
              <w:rPr>
                <w:rFonts w:ascii="Cambria Math" w:hAnsi="Cambria Math"/>
                <w:color w:val="000000" w:themeColor="text1"/>
                <w:kern w:val="24"/>
              </w:rPr>
              <m:t>Pu</m:t>
            </m:r>
          </m:e>
        </m:d>
        <m:r>
          <w:rPr>
            <w:rFonts w:ascii="Cambria Math" w:hAnsi="Cambria Math"/>
            <w:color w:val="000000" w:themeColor="text1"/>
            <w:kern w:val="24"/>
          </w:rPr>
          <m:t>=</m:t>
        </m:r>
        <m:sSub>
          <m:sSubPr>
            <m:ctrlPr>
              <w:rPr>
                <w:rFonts w:ascii="Cambria Math" w:eastAsiaTheme="minorEastAsia" w:hAnsi="Cambria Math"/>
                <w:i/>
                <w:iCs/>
                <w:color w:val="000000" w:themeColor="text1"/>
                <w:kern w:val="24"/>
              </w:rPr>
            </m:ctrlPr>
          </m:sSubPr>
          <m:e>
            <m:f>
              <m:fPr>
                <m:ctrlPr>
                  <w:rPr>
                    <w:rFonts w:ascii="Cambria Math" w:eastAsiaTheme="minorEastAsia" w:hAnsi="Cambria Math"/>
                    <w:i/>
                    <w:iCs/>
                    <w:color w:val="000000" w:themeColor="text1"/>
                    <w:kern w:val="24"/>
                  </w:rPr>
                </m:ctrlPr>
              </m:fPr>
              <m:num>
                <m:r>
                  <w:rPr>
                    <w:rFonts w:ascii="Cambria Math" w:hAnsi="Cambria Math"/>
                    <w:color w:val="000000" w:themeColor="text1"/>
                    <w:kern w:val="24"/>
                  </w:rPr>
                  <m:t>Q</m:t>
                </m:r>
              </m:num>
              <m:den>
                <m:r>
                  <w:rPr>
                    <w:rFonts w:ascii="Cambria Math" w:hAnsi="Cambria Math"/>
                    <w:color w:val="000000" w:themeColor="text1"/>
                    <w:kern w:val="24"/>
                  </w:rPr>
                  <m:t>nFf</m:t>
                </m:r>
              </m:den>
            </m:f>
            <m:r>
              <w:rPr>
                <w:rFonts w:ascii="Cambria Math" w:hAnsi="Cambria Math"/>
                <w:color w:val="000000" w:themeColor="text1"/>
                <w:kern w:val="24"/>
              </w:rPr>
              <m:t>M</m:t>
            </m:r>
          </m:e>
          <m:sub>
            <m:r>
              <w:rPr>
                <w:rFonts w:ascii="Cambria Math" w:hAnsi="Cambria Math"/>
                <w:color w:val="000000" w:themeColor="text1"/>
                <w:kern w:val="24"/>
              </w:rPr>
              <m:t>Pu</m:t>
            </m:r>
          </m:sub>
        </m:sSub>
        <m:f>
          <m:fPr>
            <m:ctrlPr>
              <w:rPr>
                <w:rFonts w:ascii="Cambria Math" w:hAnsi="Cambria Math"/>
                <w:i/>
                <w:color w:val="000000" w:themeColor="text1"/>
                <w:kern w:val="24"/>
              </w:rPr>
            </m:ctrlPr>
          </m:fPr>
          <m:num>
            <m:r>
              <w:rPr>
                <w:rFonts w:ascii="Cambria Math" w:hAnsi="Cambria Math"/>
                <w:color w:val="000000" w:themeColor="text1"/>
                <w:kern w:val="24"/>
              </w:rPr>
              <m:t>DF</m:t>
            </m:r>
          </m:num>
          <m:den>
            <m:sSub>
              <m:sSubPr>
                <m:ctrlPr>
                  <w:rPr>
                    <w:rFonts w:ascii="Cambria Math" w:hAnsi="Cambria Math"/>
                    <w:i/>
                    <w:color w:val="000000" w:themeColor="text1"/>
                    <w:kern w:val="24"/>
                  </w:rPr>
                </m:ctrlPr>
              </m:sSubPr>
              <m:e>
                <m:r>
                  <w:rPr>
                    <w:rFonts w:ascii="Cambria Math" w:hAnsi="Cambria Math"/>
                    <w:color w:val="000000" w:themeColor="text1"/>
                    <w:kern w:val="24"/>
                  </w:rPr>
                  <m:t>m</m:t>
                </m:r>
              </m:e>
              <m:sub>
                <m:r>
                  <w:rPr>
                    <w:rFonts w:ascii="Cambria Math" w:hAnsi="Cambria Math"/>
                    <w:color w:val="000000" w:themeColor="text1"/>
                    <w:kern w:val="24"/>
                  </w:rPr>
                  <m:t>sample</m:t>
                </m:r>
              </m:sub>
            </m:sSub>
          </m:den>
        </m:f>
        <m:r>
          <w:rPr>
            <w:rFonts w:ascii="Cambria Math" w:hAnsi="Cambria Math"/>
            <w:color w:val="000000" w:themeColor="text1"/>
            <w:kern w:val="24"/>
          </w:rPr>
          <m:t>=</m:t>
        </m:r>
        <m:sSub>
          <m:sSubPr>
            <m:ctrlPr>
              <w:rPr>
                <w:rFonts w:ascii="Cambria Math" w:eastAsiaTheme="minorEastAsia" w:hAnsi="Cambria Math"/>
                <w:i/>
                <w:iCs/>
                <w:color w:val="000000" w:themeColor="text1"/>
                <w:kern w:val="24"/>
              </w:rPr>
            </m:ctrlPr>
          </m:sSubPr>
          <m:e>
            <m:f>
              <m:fPr>
                <m:ctrlPr>
                  <w:rPr>
                    <w:rFonts w:ascii="Cambria Math" w:eastAsiaTheme="minorEastAsia" w:hAnsi="Cambria Math"/>
                    <w:i/>
                    <w:iCs/>
                    <w:color w:val="000000" w:themeColor="text1"/>
                    <w:kern w:val="24"/>
                  </w:rPr>
                </m:ctrlPr>
              </m:fPr>
              <m:num>
                <m:r>
                  <w:rPr>
                    <w:rFonts w:ascii="Cambria Math" w:hAnsi="Cambria Math"/>
                    <w:color w:val="000000" w:themeColor="text1"/>
                    <w:kern w:val="24"/>
                  </w:rPr>
                  <m:t>(</m:t>
                </m:r>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rPr>
                      <m:t>Q</m:t>
                    </m:r>
                  </m:e>
                  <m:sub>
                    <m:r>
                      <w:rPr>
                        <w:rFonts w:ascii="Cambria Math" w:hAnsi="Cambria Math"/>
                        <w:color w:val="000000" w:themeColor="text1"/>
                        <w:kern w:val="24"/>
                      </w:rPr>
                      <m:t>2</m:t>
                    </m:r>
                  </m:sub>
                </m:sSub>
                <m:r>
                  <w:rPr>
                    <w:rFonts w:ascii="Cambria Math" w:hAnsi="Cambria Math"/>
                    <w:color w:val="000000" w:themeColor="text1"/>
                    <w:kern w:val="24"/>
                  </w:rPr>
                  <m:t>-</m:t>
                </m:r>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rPr>
                      <m:t>Q</m:t>
                    </m:r>
                  </m:e>
                  <m:sub>
                    <m:r>
                      <w:rPr>
                        <w:rFonts w:ascii="Cambria Math" w:hAnsi="Cambria Math"/>
                        <w:color w:val="000000" w:themeColor="text1"/>
                        <w:kern w:val="24"/>
                      </w:rPr>
                      <m:t>1</m:t>
                    </m:r>
                  </m:sub>
                </m:sSub>
                <m:r>
                  <w:rPr>
                    <w:rFonts w:ascii="Cambria Math" w:hAnsi="Cambria Math"/>
                    <w:color w:val="000000" w:themeColor="text1"/>
                    <w:kern w:val="24"/>
                  </w:rPr>
                  <m:t>-</m:t>
                </m:r>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rPr>
                      <m:t>i</m:t>
                    </m:r>
                  </m:e>
                  <m:sub>
                    <m:r>
                      <w:rPr>
                        <w:rFonts w:ascii="Cambria Math" w:hAnsi="Cambria Math"/>
                        <w:color w:val="000000" w:themeColor="text1"/>
                        <w:kern w:val="24"/>
                      </w:rPr>
                      <m:t>r2</m:t>
                    </m:r>
                  </m:sub>
                </m:sSub>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rPr>
                      <m:t>t</m:t>
                    </m:r>
                  </m:e>
                  <m:sub>
                    <m:r>
                      <w:rPr>
                        <w:rFonts w:ascii="Cambria Math" w:hAnsi="Cambria Math"/>
                        <w:color w:val="000000" w:themeColor="text1"/>
                        <w:kern w:val="24"/>
                      </w:rPr>
                      <m:t>2</m:t>
                    </m:r>
                  </m:sub>
                </m:sSub>
                <m:r>
                  <w:rPr>
                    <w:rFonts w:ascii="Cambria Math" w:hAnsi="Cambria Math"/>
                    <w:color w:val="000000" w:themeColor="text1"/>
                    <w:kern w:val="24"/>
                  </w:rPr>
                  <m:t>+</m:t>
                </m:r>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rPr>
                      <m:t>i</m:t>
                    </m:r>
                  </m:e>
                  <m:sub>
                    <m:r>
                      <w:rPr>
                        <w:rFonts w:ascii="Cambria Math" w:hAnsi="Cambria Math"/>
                        <w:color w:val="000000" w:themeColor="text1"/>
                        <w:kern w:val="24"/>
                      </w:rPr>
                      <m:t>r1</m:t>
                    </m:r>
                  </m:sub>
                </m:sSub>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rPr>
                      <m:t>t</m:t>
                    </m:r>
                  </m:e>
                  <m:sub>
                    <m:r>
                      <w:rPr>
                        <w:rFonts w:ascii="Cambria Math" w:hAnsi="Cambria Math"/>
                        <w:color w:val="000000" w:themeColor="text1"/>
                        <w:kern w:val="24"/>
                      </w:rPr>
                      <m:t>1</m:t>
                    </m:r>
                  </m:sub>
                </m:sSub>
                <m:r>
                  <w:rPr>
                    <w:rFonts w:ascii="Cambria Math" w:hAnsi="Cambria Math"/>
                    <w:color w:val="000000" w:themeColor="text1"/>
                    <w:kern w:val="24"/>
                  </w:rPr>
                  <m:t>)</m:t>
                </m:r>
              </m:num>
              <m:den>
                <m:r>
                  <w:rPr>
                    <w:rFonts w:ascii="Cambria Math" w:hAnsi="Cambria Math"/>
                    <w:color w:val="000000" w:themeColor="text1"/>
                    <w:kern w:val="24"/>
                  </w:rPr>
                  <m:t>nFf</m:t>
                </m:r>
              </m:den>
            </m:f>
            <m:r>
              <w:rPr>
                <w:rFonts w:ascii="Cambria Math" w:hAnsi="Cambria Math"/>
                <w:color w:val="000000" w:themeColor="text1"/>
                <w:kern w:val="24"/>
              </w:rPr>
              <m:t>M</m:t>
            </m:r>
          </m:e>
          <m:sub>
            <m:r>
              <w:rPr>
                <w:rFonts w:ascii="Cambria Math" w:hAnsi="Cambria Math"/>
                <w:color w:val="000000" w:themeColor="text1"/>
                <w:kern w:val="24"/>
              </w:rPr>
              <m:t>Pu</m:t>
            </m:r>
          </m:sub>
        </m:sSub>
        <m:f>
          <m:fPr>
            <m:ctrlPr>
              <w:rPr>
                <w:rFonts w:ascii="Cambria Math" w:eastAsiaTheme="minorEastAsia" w:hAnsi="Cambria Math"/>
                <w:i/>
                <w:iCs/>
                <w:color w:val="000000" w:themeColor="text1"/>
                <w:kern w:val="24"/>
              </w:rPr>
            </m:ctrlPr>
          </m:fPr>
          <m:num>
            <m:sSub>
              <m:sSubPr>
                <m:ctrlPr>
                  <w:rPr>
                    <w:rFonts w:ascii="Cambria Math" w:eastAsiaTheme="minorEastAsia" w:hAnsi="Cambria Math"/>
                    <w:i/>
                    <w:iCs/>
                    <w:color w:val="000000" w:themeColor="text1"/>
                    <w:kern w:val="24"/>
                  </w:rPr>
                </m:ctrlPr>
              </m:sSubPr>
              <m:e>
                <m:r>
                  <w:rPr>
                    <w:rFonts w:ascii="Cambria Math" w:eastAsiaTheme="minorEastAsia" w:hAnsi="Cambria Math"/>
                    <w:color w:val="000000" w:themeColor="text1"/>
                    <w:kern w:val="24"/>
                  </w:rPr>
                  <m:t>m</m:t>
                </m:r>
              </m:e>
              <m:sub>
                <m:r>
                  <w:rPr>
                    <w:rFonts w:ascii="Cambria Math" w:eastAsiaTheme="minorEastAsia" w:hAnsi="Cambria Math"/>
                    <w:color w:val="000000" w:themeColor="text1"/>
                    <w:kern w:val="24"/>
                  </w:rPr>
                  <m:t>dil. EQRAIN</m:t>
                </m:r>
              </m:sub>
            </m:sSub>
          </m:num>
          <m:den>
            <m:sSub>
              <m:sSubPr>
                <m:ctrlPr>
                  <w:rPr>
                    <w:rFonts w:ascii="Cambria Math" w:eastAsiaTheme="minorEastAsia" w:hAnsi="Cambria Math"/>
                    <w:i/>
                    <w:iCs/>
                    <w:color w:val="000000" w:themeColor="text1"/>
                    <w:kern w:val="24"/>
                  </w:rPr>
                </m:ctrlPr>
              </m:sSubPr>
              <m:e>
                <m:r>
                  <w:rPr>
                    <w:rFonts w:ascii="Cambria Math" w:eastAsiaTheme="minorEastAsia" w:hAnsi="Cambria Math"/>
                    <w:color w:val="000000" w:themeColor="text1"/>
                    <w:kern w:val="24"/>
                  </w:rPr>
                  <m:t>m</m:t>
                </m:r>
              </m:e>
              <m:sub>
                <m:r>
                  <w:rPr>
                    <w:rFonts w:ascii="Cambria Math" w:eastAsiaTheme="minorEastAsia" w:hAnsi="Cambria Math"/>
                    <w:color w:val="000000" w:themeColor="text1"/>
                    <w:kern w:val="24"/>
                  </w:rPr>
                  <m:t>EQRAIN</m:t>
                </m:r>
              </m:sub>
            </m:sSub>
            <m:r>
              <w:rPr>
                <w:rFonts w:ascii="Cambria Math" w:eastAsiaTheme="minorEastAsia" w:hAnsi="Cambria Math"/>
                <w:color w:val="000000" w:themeColor="text1"/>
                <w:kern w:val="24"/>
              </w:rPr>
              <m:t>.</m:t>
            </m:r>
            <m:sSub>
              <m:sSubPr>
                <m:ctrlPr>
                  <w:rPr>
                    <w:rFonts w:ascii="Cambria Math" w:eastAsiaTheme="minorEastAsia" w:hAnsi="Cambria Math"/>
                    <w:i/>
                    <w:iCs/>
                    <w:color w:val="000000" w:themeColor="text1"/>
                    <w:kern w:val="24"/>
                  </w:rPr>
                </m:ctrlPr>
              </m:sSubPr>
              <m:e>
                <m:r>
                  <w:rPr>
                    <w:rFonts w:ascii="Cambria Math" w:eastAsiaTheme="minorEastAsia" w:hAnsi="Cambria Math"/>
                    <w:color w:val="000000" w:themeColor="text1"/>
                    <w:kern w:val="24"/>
                  </w:rPr>
                  <m:t>m</m:t>
                </m:r>
              </m:e>
              <m:sub>
                <m:r>
                  <w:rPr>
                    <w:rFonts w:ascii="Cambria Math" w:eastAsiaTheme="minorEastAsia" w:hAnsi="Cambria Math"/>
                    <w:color w:val="000000" w:themeColor="text1"/>
                    <w:kern w:val="24"/>
                  </w:rPr>
                  <m:t>sample</m:t>
                </m:r>
              </m:sub>
            </m:sSub>
          </m:den>
        </m:f>
      </m:oMath>
      <w:r w:rsidR="0046673F" w:rsidRPr="00A95E01">
        <w:rPr>
          <w:iCs/>
          <w:color w:val="000000" w:themeColor="text1"/>
          <w:kern w:val="24"/>
        </w:rPr>
        <w:tab/>
      </w:r>
      <w:r w:rsidR="0046673F" w:rsidRPr="00A95E01">
        <w:rPr>
          <w:iCs/>
          <w:color w:val="000000" w:themeColor="text1"/>
          <w:kern w:val="24"/>
        </w:rPr>
        <w:tab/>
      </w:r>
      <w:r w:rsidR="00AB073E" w:rsidRPr="00A95E01">
        <w:rPr>
          <w:iCs/>
          <w:color w:val="000000" w:themeColor="text1"/>
          <w:kern w:val="24"/>
        </w:rPr>
        <w:t>(16)</w:t>
      </w:r>
    </w:p>
    <w:p w:rsidR="00AB073E" w:rsidRPr="00A95E01" w:rsidRDefault="00AB073E" w:rsidP="0046673F">
      <w:pPr>
        <w:spacing w:line="360" w:lineRule="auto"/>
        <w:jc w:val="both"/>
      </w:pPr>
      <w:r w:rsidRPr="00A95E01">
        <w:t xml:space="preserve">Using the input parameters of Table 7, the probability density function was thus calculated for the [Pu] and </w:t>
      </w:r>
      <w:r w:rsidRPr="00A95E01">
        <w:rPr>
          <w:i/>
        </w:rPr>
        <w:t>f</w:t>
      </w:r>
      <w:r w:rsidRPr="00A95E01">
        <w:t xml:space="preserve"> terms using the JMP software and their profiles were plotted as seen in Fig</w:t>
      </w:r>
      <w:r w:rsidR="0046673F" w:rsidRPr="00A95E01">
        <w:t>.</w:t>
      </w:r>
      <w:r w:rsidRPr="00A95E01">
        <w:t xml:space="preserve"> 5. From these profiles, the coverage intervals are deduced. </w:t>
      </w:r>
    </w:p>
    <w:p w:rsidR="00AB073E" w:rsidRPr="00A95E01" w:rsidRDefault="00AB073E" w:rsidP="0046673F">
      <w:pPr>
        <w:spacing w:line="360" w:lineRule="auto"/>
        <w:jc w:val="both"/>
      </w:pPr>
    </w:p>
    <w:tbl>
      <w:tblPr>
        <w:tblW w:w="0" w:type="auto"/>
        <w:tblLook w:val="04A0" w:firstRow="1" w:lastRow="0" w:firstColumn="1" w:lastColumn="0" w:noHBand="0" w:noVBand="1"/>
      </w:tblPr>
      <w:tblGrid>
        <w:gridCol w:w="4247"/>
        <w:gridCol w:w="4248"/>
      </w:tblGrid>
      <w:tr w:rsidR="00AB073E" w:rsidRPr="00A95E01" w:rsidTr="00AB073E">
        <w:tc>
          <w:tcPr>
            <w:tcW w:w="4247" w:type="dxa"/>
          </w:tcPr>
          <w:p w:rsidR="00AB073E" w:rsidRPr="00A95E01" w:rsidRDefault="00AB073E" w:rsidP="0046673F">
            <w:pPr>
              <w:spacing w:line="360" w:lineRule="auto"/>
            </w:pPr>
            <w:r w:rsidRPr="00A95E01">
              <w:rPr>
                <w:rFonts w:ascii="Segoe UI" w:hAnsi="Segoe UI" w:cs="Segoe UI"/>
                <w:noProof/>
                <w:color w:val="000000"/>
                <w:sz w:val="18"/>
                <w:szCs w:val="18"/>
                <w:lang w:val="fr-FR" w:eastAsia="fr-FR"/>
              </w:rPr>
              <w:drawing>
                <wp:inline distT="0" distB="0" distL="0" distR="0" wp14:anchorId="60B430F8" wp14:editId="7BC78AEF">
                  <wp:extent cx="2493534" cy="1549238"/>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9858"/>
                          <a:stretch/>
                        </pic:blipFill>
                        <pic:spPr bwMode="auto">
                          <a:xfrm>
                            <a:off x="0" y="0"/>
                            <a:ext cx="2493534" cy="1549238"/>
                          </a:xfrm>
                          <a:prstGeom prst="rect">
                            <a:avLst/>
                          </a:prstGeom>
                          <a:noFill/>
                          <a:ln>
                            <a:noFill/>
                          </a:ln>
                          <a:extLst>
                            <a:ext uri="{53640926-AAD7-44D8-BBD7-CCE9431645EC}">
                              <a14:shadowObscured xmlns:a14="http://schemas.microsoft.com/office/drawing/2010/main"/>
                            </a:ext>
                          </a:extLst>
                        </pic:spPr>
                      </pic:pic>
                    </a:graphicData>
                  </a:graphic>
                </wp:inline>
              </w:drawing>
            </w:r>
          </w:p>
          <w:p w:rsidR="00AB073E" w:rsidRPr="00A95E01" w:rsidRDefault="00AB073E" w:rsidP="0046673F">
            <w:pPr>
              <w:spacing w:line="360" w:lineRule="auto"/>
              <w:jc w:val="center"/>
            </w:pPr>
            <w:r w:rsidRPr="00A95E01">
              <w:t>[Pu]   (g/kg)</w:t>
            </w:r>
          </w:p>
        </w:tc>
        <w:tc>
          <w:tcPr>
            <w:tcW w:w="4248" w:type="dxa"/>
          </w:tcPr>
          <w:p w:rsidR="00AB073E" w:rsidRPr="00A95E01" w:rsidRDefault="00AB073E" w:rsidP="0046673F">
            <w:pPr>
              <w:spacing w:line="360" w:lineRule="auto"/>
            </w:pPr>
            <w:r w:rsidRPr="00A95E01">
              <w:rPr>
                <w:rFonts w:ascii="Segoe UI" w:hAnsi="Segoe UI" w:cs="Segoe UI"/>
                <w:noProof/>
                <w:color w:val="000000"/>
                <w:sz w:val="18"/>
                <w:szCs w:val="18"/>
                <w:lang w:val="fr-FR" w:eastAsia="fr-FR"/>
              </w:rPr>
              <w:drawing>
                <wp:inline distT="0" distB="0" distL="0" distR="0" wp14:anchorId="3129E1CB" wp14:editId="2EC80309">
                  <wp:extent cx="2492106" cy="1548765"/>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b="9834"/>
                          <a:stretch/>
                        </pic:blipFill>
                        <pic:spPr bwMode="auto">
                          <a:xfrm>
                            <a:off x="0" y="0"/>
                            <a:ext cx="2522790" cy="1567834"/>
                          </a:xfrm>
                          <a:prstGeom prst="rect">
                            <a:avLst/>
                          </a:prstGeom>
                          <a:noFill/>
                          <a:ln>
                            <a:noFill/>
                          </a:ln>
                          <a:extLst>
                            <a:ext uri="{53640926-AAD7-44D8-BBD7-CCE9431645EC}">
                              <a14:shadowObscured xmlns:a14="http://schemas.microsoft.com/office/drawing/2010/main"/>
                            </a:ext>
                          </a:extLst>
                        </pic:spPr>
                      </pic:pic>
                    </a:graphicData>
                  </a:graphic>
                </wp:inline>
              </w:drawing>
            </w:r>
          </w:p>
          <w:p w:rsidR="00AB073E" w:rsidRPr="00A95E01" w:rsidRDefault="00AB073E" w:rsidP="0046673F">
            <w:pPr>
              <w:spacing w:line="360" w:lineRule="auto"/>
              <w:jc w:val="center"/>
            </w:pPr>
            <w:r w:rsidRPr="00A95E01">
              <w:t xml:space="preserve">fraction electrolyzed </w:t>
            </w:r>
            <w:r w:rsidRPr="00A95E01">
              <w:rPr>
                <w:i/>
              </w:rPr>
              <w:t>f</w:t>
            </w:r>
          </w:p>
        </w:tc>
      </w:tr>
    </w:tbl>
    <w:p w:rsidR="00AB073E" w:rsidRPr="00A95E01" w:rsidRDefault="00AB073E" w:rsidP="0046673F">
      <w:pPr>
        <w:spacing w:line="360" w:lineRule="auto"/>
        <w:jc w:val="both"/>
      </w:pPr>
      <w:r w:rsidRPr="00A95E01">
        <w:rPr>
          <w:b/>
        </w:rPr>
        <w:t>Fig</w:t>
      </w:r>
      <w:r w:rsidR="0046673F" w:rsidRPr="00A95E01">
        <w:rPr>
          <w:b/>
        </w:rPr>
        <w:t>.</w:t>
      </w:r>
      <w:r w:rsidRPr="00A95E01">
        <w:rPr>
          <w:b/>
        </w:rPr>
        <w:t xml:space="preserve"> 5</w:t>
      </w:r>
      <w:r w:rsidRPr="00A95E01">
        <w:t xml:space="preserve"> Probability density functions and quartiles (shown in the box plots above each function) for the Pu concentration (left), and the fraction of Pu electrolyzed (right) calculated from Monte Carlo calculations by using the input details presented in Table 7</w:t>
      </w:r>
    </w:p>
    <w:p w:rsidR="00AB073E" w:rsidRPr="00A95E01" w:rsidRDefault="00AB073E" w:rsidP="0046673F">
      <w:pPr>
        <w:spacing w:line="360" w:lineRule="auto"/>
      </w:pPr>
    </w:p>
    <w:tbl>
      <w:tblPr>
        <w:tblStyle w:val="Grilledutableau"/>
        <w:tblW w:w="0" w:type="auto"/>
        <w:tblLook w:val="04A0" w:firstRow="1" w:lastRow="0" w:firstColumn="1" w:lastColumn="0" w:noHBand="0" w:noVBand="1"/>
      </w:tblPr>
      <w:tblGrid>
        <w:gridCol w:w="2154"/>
        <w:gridCol w:w="1619"/>
        <w:gridCol w:w="1619"/>
        <w:gridCol w:w="1619"/>
        <w:gridCol w:w="1619"/>
      </w:tblGrid>
      <w:tr w:rsidR="001934C9" w:rsidRPr="00A95E01" w:rsidTr="001934C9">
        <w:tc>
          <w:tcPr>
            <w:tcW w:w="2154" w:type="dxa"/>
            <w:vMerge w:val="restart"/>
          </w:tcPr>
          <w:p w:rsidR="001934C9" w:rsidRPr="00A95E01" w:rsidRDefault="001934C9" w:rsidP="0046673F">
            <w:pPr>
              <w:spacing w:line="360" w:lineRule="auto"/>
            </w:pPr>
            <w:r w:rsidRPr="00A95E01">
              <w:t>Uncertainty Calculation Approach</w:t>
            </w:r>
          </w:p>
        </w:tc>
        <w:tc>
          <w:tcPr>
            <w:tcW w:w="3238" w:type="dxa"/>
            <w:gridSpan w:val="2"/>
            <w:vAlign w:val="center"/>
          </w:tcPr>
          <w:p w:rsidR="001934C9" w:rsidRPr="00A95E01" w:rsidRDefault="001934C9" w:rsidP="001934C9">
            <w:pPr>
              <w:spacing w:line="360" w:lineRule="auto"/>
              <w:jc w:val="center"/>
              <w:rPr>
                <w:b/>
                <w:i/>
              </w:rPr>
            </w:pPr>
            <w:r w:rsidRPr="00A95E01">
              <w:rPr>
                <w:b/>
                <w:i/>
              </w:rPr>
              <w:t>[Pu]</w:t>
            </w:r>
          </w:p>
        </w:tc>
        <w:tc>
          <w:tcPr>
            <w:tcW w:w="3238" w:type="dxa"/>
            <w:gridSpan w:val="2"/>
            <w:vAlign w:val="center"/>
          </w:tcPr>
          <w:p w:rsidR="001934C9" w:rsidRPr="00A95E01" w:rsidRDefault="001934C9" w:rsidP="001934C9">
            <w:pPr>
              <w:spacing w:line="360" w:lineRule="auto"/>
              <w:jc w:val="center"/>
              <w:rPr>
                <w:b/>
                <w:i/>
              </w:rPr>
            </w:pPr>
            <w:r w:rsidRPr="00A95E01">
              <w:rPr>
                <w:b/>
                <w:i/>
              </w:rPr>
              <w:t>f</w:t>
            </w:r>
          </w:p>
        </w:tc>
      </w:tr>
      <w:tr w:rsidR="001934C9" w:rsidRPr="00A95E01" w:rsidTr="003A7986">
        <w:tc>
          <w:tcPr>
            <w:tcW w:w="2154" w:type="dxa"/>
            <w:vMerge/>
          </w:tcPr>
          <w:p w:rsidR="001934C9" w:rsidRPr="00A95E01" w:rsidRDefault="001934C9" w:rsidP="001934C9">
            <w:pPr>
              <w:spacing w:line="360" w:lineRule="auto"/>
            </w:pPr>
          </w:p>
        </w:tc>
        <w:tc>
          <w:tcPr>
            <w:tcW w:w="1619" w:type="dxa"/>
            <w:vAlign w:val="center"/>
          </w:tcPr>
          <w:p w:rsidR="001934C9" w:rsidRPr="00A95E01" w:rsidRDefault="001934C9" w:rsidP="001934C9">
            <w:pPr>
              <w:spacing w:line="360" w:lineRule="auto"/>
              <w:jc w:val="center"/>
            </w:pPr>
            <w:r w:rsidRPr="00A95E01">
              <w:rPr>
                <w:i/>
              </w:rPr>
              <w:t>u</w:t>
            </w:r>
            <w:r w:rsidRPr="00A95E01">
              <w:rPr>
                <w:i/>
                <w:vertAlign w:val="subscript"/>
              </w:rPr>
              <w:t>r</w:t>
            </w:r>
          </w:p>
        </w:tc>
        <w:tc>
          <w:tcPr>
            <w:tcW w:w="1619" w:type="dxa"/>
            <w:vAlign w:val="center"/>
          </w:tcPr>
          <w:p w:rsidR="001934C9" w:rsidRPr="00A95E01" w:rsidRDefault="001934C9" w:rsidP="001934C9">
            <w:pPr>
              <w:spacing w:line="360" w:lineRule="auto"/>
              <w:jc w:val="center"/>
            </w:pPr>
            <w:r w:rsidRPr="00A95E01">
              <w:rPr>
                <w:i/>
              </w:rPr>
              <w:t>U</w:t>
            </w:r>
            <w:r w:rsidRPr="00A95E01">
              <w:rPr>
                <w:i/>
                <w:vertAlign w:val="subscript"/>
              </w:rPr>
              <w:t>r</w:t>
            </w:r>
            <w:r w:rsidRPr="00A95E01">
              <w:t xml:space="preserve"> or </w:t>
            </w:r>
            <w:r w:rsidRPr="00A95E01">
              <w:rPr>
                <w:i/>
              </w:rPr>
              <w:t>CI</w:t>
            </w:r>
          </w:p>
        </w:tc>
        <w:tc>
          <w:tcPr>
            <w:tcW w:w="1619" w:type="dxa"/>
            <w:vAlign w:val="center"/>
          </w:tcPr>
          <w:p w:rsidR="001934C9" w:rsidRPr="00A95E01" w:rsidRDefault="001934C9" w:rsidP="001934C9">
            <w:pPr>
              <w:spacing w:line="360" w:lineRule="auto"/>
              <w:jc w:val="center"/>
            </w:pPr>
            <w:r w:rsidRPr="00A95E01">
              <w:rPr>
                <w:i/>
              </w:rPr>
              <w:t>u</w:t>
            </w:r>
            <w:r w:rsidRPr="00A95E01">
              <w:rPr>
                <w:i/>
                <w:vertAlign w:val="subscript"/>
              </w:rPr>
              <w:t>r</w:t>
            </w:r>
          </w:p>
        </w:tc>
        <w:tc>
          <w:tcPr>
            <w:tcW w:w="1619" w:type="dxa"/>
            <w:vAlign w:val="center"/>
          </w:tcPr>
          <w:p w:rsidR="001934C9" w:rsidRPr="00A95E01" w:rsidRDefault="001934C9" w:rsidP="001934C9">
            <w:pPr>
              <w:spacing w:line="360" w:lineRule="auto"/>
              <w:jc w:val="center"/>
            </w:pPr>
            <w:r w:rsidRPr="00A95E01">
              <w:rPr>
                <w:i/>
              </w:rPr>
              <w:t>U</w:t>
            </w:r>
            <w:r w:rsidRPr="00A95E01">
              <w:rPr>
                <w:i/>
                <w:vertAlign w:val="subscript"/>
              </w:rPr>
              <w:t>r</w:t>
            </w:r>
            <w:r w:rsidRPr="00A95E01">
              <w:t xml:space="preserve"> or </w:t>
            </w:r>
            <w:r w:rsidRPr="00A95E01">
              <w:rPr>
                <w:i/>
              </w:rPr>
              <w:t>CI</w:t>
            </w:r>
          </w:p>
        </w:tc>
      </w:tr>
      <w:tr w:rsidR="001934C9" w:rsidRPr="00A95E01" w:rsidTr="001934C9">
        <w:tc>
          <w:tcPr>
            <w:tcW w:w="2154" w:type="dxa"/>
            <w:vAlign w:val="center"/>
          </w:tcPr>
          <w:p w:rsidR="001934C9" w:rsidRPr="00A95E01" w:rsidRDefault="001934C9" w:rsidP="001934C9">
            <w:pPr>
              <w:spacing w:line="360" w:lineRule="auto"/>
              <w:jc w:val="center"/>
            </w:pPr>
            <w:r w:rsidRPr="00A95E01">
              <w:t>GUM</w:t>
            </w:r>
          </w:p>
        </w:tc>
        <w:tc>
          <w:tcPr>
            <w:tcW w:w="1619" w:type="dxa"/>
            <w:vAlign w:val="center"/>
          </w:tcPr>
          <w:p w:rsidR="001934C9" w:rsidRPr="00A95E01" w:rsidRDefault="001934C9" w:rsidP="001934C9">
            <w:pPr>
              <w:spacing w:line="360" w:lineRule="auto"/>
              <w:jc w:val="center"/>
            </w:pPr>
            <w:r w:rsidRPr="00A95E01">
              <w:t>0.043 %</w:t>
            </w:r>
          </w:p>
        </w:tc>
        <w:tc>
          <w:tcPr>
            <w:tcW w:w="1619" w:type="dxa"/>
            <w:vAlign w:val="center"/>
          </w:tcPr>
          <w:p w:rsidR="001934C9" w:rsidRPr="00A95E01" w:rsidRDefault="001934C9" w:rsidP="001934C9">
            <w:pPr>
              <w:spacing w:line="360" w:lineRule="auto"/>
              <w:jc w:val="center"/>
            </w:pPr>
            <w:r w:rsidRPr="00A95E01">
              <w:t>0.086 %</w:t>
            </w:r>
          </w:p>
        </w:tc>
        <w:tc>
          <w:tcPr>
            <w:tcW w:w="1619" w:type="dxa"/>
            <w:vAlign w:val="center"/>
          </w:tcPr>
          <w:p w:rsidR="001934C9" w:rsidRPr="00A95E01" w:rsidRDefault="001934C9" w:rsidP="001934C9">
            <w:pPr>
              <w:spacing w:line="360" w:lineRule="auto"/>
              <w:jc w:val="center"/>
            </w:pPr>
            <w:r w:rsidRPr="00A95E01">
              <w:t>0.0017 %</w:t>
            </w:r>
          </w:p>
        </w:tc>
        <w:tc>
          <w:tcPr>
            <w:tcW w:w="1619" w:type="dxa"/>
            <w:vAlign w:val="center"/>
          </w:tcPr>
          <w:p w:rsidR="001934C9" w:rsidRPr="00A95E01" w:rsidRDefault="001934C9" w:rsidP="001934C9">
            <w:pPr>
              <w:spacing w:line="360" w:lineRule="auto"/>
              <w:jc w:val="center"/>
            </w:pPr>
            <w:r w:rsidRPr="00A95E01">
              <w:t>0.0034 %</w:t>
            </w:r>
          </w:p>
        </w:tc>
      </w:tr>
      <w:tr w:rsidR="001934C9" w:rsidRPr="00A95E01" w:rsidTr="001934C9">
        <w:tc>
          <w:tcPr>
            <w:tcW w:w="2154" w:type="dxa"/>
            <w:vAlign w:val="center"/>
          </w:tcPr>
          <w:p w:rsidR="001934C9" w:rsidRPr="00A95E01" w:rsidRDefault="001934C9" w:rsidP="001934C9">
            <w:pPr>
              <w:spacing w:line="360" w:lineRule="auto"/>
              <w:jc w:val="center"/>
            </w:pPr>
            <w:r w:rsidRPr="00A95E01">
              <w:t>Monte Carlo Method</w:t>
            </w:r>
          </w:p>
        </w:tc>
        <w:tc>
          <w:tcPr>
            <w:tcW w:w="1619" w:type="dxa"/>
            <w:vAlign w:val="center"/>
          </w:tcPr>
          <w:p w:rsidR="001934C9" w:rsidRPr="00A95E01" w:rsidRDefault="001934C9" w:rsidP="001934C9">
            <w:pPr>
              <w:spacing w:line="360" w:lineRule="auto"/>
              <w:jc w:val="center"/>
            </w:pPr>
            <w:r w:rsidRPr="00A95E01">
              <w:t>0.041 %</w:t>
            </w:r>
          </w:p>
        </w:tc>
        <w:tc>
          <w:tcPr>
            <w:tcW w:w="1619" w:type="dxa"/>
            <w:vAlign w:val="center"/>
          </w:tcPr>
          <w:p w:rsidR="001934C9" w:rsidRPr="00A95E01" w:rsidRDefault="001934C9" w:rsidP="001934C9">
            <w:pPr>
              <w:spacing w:line="360" w:lineRule="auto"/>
              <w:jc w:val="center"/>
            </w:pPr>
            <w:r w:rsidRPr="00A95E01">
              <w:t>0.082 %</w:t>
            </w:r>
          </w:p>
        </w:tc>
        <w:tc>
          <w:tcPr>
            <w:tcW w:w="1619" w:type="dxa"/>
            <w:vAlign w:val="center"/>
          </w:tcPr>
          <w:p w:rsidR="001934C9" w:rsidRPr="00A95E01" w:rsidRDefault="001934C9" w:rsidP="001934C9">
            <w:pPr>
              <w:spacing w:line="360" w:lineRule="auto"/>
              <w:jc w:val="center"/>
            </w:pPr>
            <w:r w:rsidRPr="00A95E01">
              <w:t>0.0006 %</w:t>
            </w:r>
          </w:p>
        </w:tc>
        <w:tc>
          <w:tcPr>
            <w:tcW w:w="1619" w:type="dxa"/>
            <w:vAlign w:val="center"/>
          </w:tcPr>
          <w:p w:rsidR="001934C9" w:rsidRPr="00A95E01" w:rsidRDefault="001934C9" w:rsidP="001934C9">
            <w:pPr>
              <w:spacing w:line="360" w:lineRule="auto"/>
              <w:jc w:val="center"/>
            </w:pPr>
            <w:r w:rsidRPr="00A95E01">
              <w:t>0.0011 %</w:t>
            </w:r>
          </w:p>
        </w:tc>
      </w:tr>
    </w:tbl>
    <w:p w:rsidR="00AB073E" w:rsidRPr="00A95E01" w:rsidRDefault="00AB073E" w:rsidP="0046673F">
      <w:pPr>
        <w:spacing w:line="360" w:lineRule="auto"/>
        <w:jc w:val="center"/>
      </w:pPr>
      <w:r w:rsidRPr="00A95E01">
        <w:rPr>
          <w:b/>
        </w:rPr>
        <w:t>Table 8</w:t>
      </w:r>
      <w:r w:rsidRPr="00A95E01">
        <w:t xml:space="preserve"> Comparison of uncertainty evaluations between the GUM and MCM approaches.</w:t>
      </w:r>
    </w:p>
    <w:p w:rsidR="00AB073E" w:rsidRPr="00A95E01" w:rsidRDefault="00AB073E" w:rsidP="0046673F">
      <w:pPr>
        <w:spacing w:line="360" w:lineRule="auto"/>
        <w:jc w:val="both"/>
      </w:pPr>
      <w:r w:rsidRPr="00A95E01">
        <w:t xml:space="preserve">The uncertainties calculated through the MCM are shown in Table 8 and compared to those calculated previously with the GUM method. It is possible to see that the values of [Pu] uncertainties are consistent between the two calculations. As the </w:t>
      </w:r>
      <w:r w:rsidRPr="00A95E01">
        <w:rPr>
          <w:i/>
        </w:rPr>
        <w:t>Q</w:t>
      </w:r>
      <w:r w:rsidRPr="00A95E01">
        <w:rPr>
          <w:i/>
          <w:vertAlign w:val="subscript"/>
        </w:rPr>
        <w:t>s</w:t>
      </w:r>
      <w:r w:rsidRPr="00A95E01">
        <w:t xml:space="preserve"> and </w:t>
      </w:r>
      <w:r w:rsidRPr="00A95E01">
        <w:rPr>
          <w:i/>
        </w:rPr>
        <w:t>f</w:t>
      </w:r>
      <w:r w:rsidRPr="00A95E01">
        <w:t xml:space="preserve"> terms are </w:t>
      </w:r>
      <w:r w:rsidRPr="00A95E01">
        <w:lastRenderedPageBreak/>
        <w:t xml:space="preserve">estimated more finely by Monte Carlo Method, the GUM approach tends to overestimate the Pu uncertainty slightly. </w:t>
      </w:r>
      <w:r w:rsidR="001934C9" w:rsidRPr="00A95E01">
        <w:t>From F</w:t>
      </w:r>
      <w:r w:rsidRPr="00A95E01">
        <w:t>ig</w:t>
      </w:r>
      <w:r w:rsidR="001934C9" w:rsidRPr="00A95E01">
        <w:t>.</w:t>
      </w:r>
      <w:r w:rsidRPr="00A95E01">
        <w:t xml:space="preserve"> </w:t>
      </w:r>
      <w:r w:rsidR="001934C9" w:rsidRPr="00A95E01">
        <w:t>5</w:t>
      </w:r>
      <w:r w:rsidRPr="00A95E01">
        <w:t xml:space="preserve">, it can be seen that the probability density functions from the MCM simulations are symmetrical and not significantly different from a Gaussian shape. As such it was possible to express the (relative) standard uncertainty terms by dividing the CI from MCM by 2. It is also important to note from these results that the very low uncertainty of the </w:t>
      </w:r>
      <w:r w:rsidRPr="00A95E01">
        <w:rPr>
          <w:i/>
        </w:rPr>
        <w:t xml:space="preserve">f </w:t>
      </w:r>
      <w:r w:rsidRPr="00A95E01">
        <w:t>term (below 0,001% at k=1) as calculated by the MCM approach, corroborates the hypothesis that its variability could be neglected during the GUM calculations.</w:t>
      </w:r>
    </w:p>
    <w:p w:rsidR="00AB073E" w:rsidRPr="00A95E01" w:rsidRDefault="00AB073E" w:rsidP="0046673F">
      <w:pPr>
        <w:spacing w:line="360" w:lineRule="auto"/>
        <w:jc w:val="both"/>
      </w:pPr>
      <w:r w:rsidRPr="00A95E01">
        <w:t>Based on these results, it is possible to say that the MCM approach appears to be a powerful tool for the determination of uncertainties on Pu concentration analysis through CPC titration.</w:t>
      </w:r>
    </w:p>
    <w:p w:rsidR="00AB073E" w:rsidRPr="00A95E01" w:rsidRDefault="00AB073E" w:rsidP="00AB073E">
      <w:pPr>
        <w:jc w:val="both"/>
      </w:pPr>
    </w:p>
    <w:p w:rsidR="00AB073E" w:rsidRPr="00A95E01" w:rsidRDefault="00AB073E" w:rsidP="000D7B2E">
      <w:pPr>
        <w:pStyle w:val="JRNCBody"/>
      </w:pPr>
      <w:r w:rsidRPr="00A95E01">
        <w:rPr>
          <w:sz w:val="28"/>
          <w:szCs w:val="24"/>
          <w:lang w:val="en-US"/>
        </w:rPr>
        <w:t>Trueness analysis</w:t>
      </w:r>
    </w:p>
    <w:p w:rsidR="00AB073E" w:rsidRPr="00A95E01" w:rsidRDefault="00AB073E" w:rsidP="001934C9">
      <w:pPr>
        <w:spacing w:line="360" w:lineRule="auto"/>
        <w:jc w:val="both"/>
      </w:pPr>
      <w:r w:rsidRPr="00A95E01">
        <w:t>The Pu mass fraction determined by using Eq</w:t>
      </w:r>
      <w:r w:rsidR="001934C9" w:rsidRPr="00A95E01">
        <w:t>.</w:t>
      </w:r>
      <w:r w:rsidRPr="00A95E01">
        <w:t xml:space="preserve"> </w:t>
      </w:r>
      <w:r w:rsidR="001934C9" w:rsidRPr="00A95E01">
        <w:t>(</w:t>
      </w:r>
      <w:r w:rsidRPr="00A95E01">
        <w:t>10</w:t>
      </w:r>
      <w:r w:rsidR="001934C9" w:rsidRPr="00A95E01">
        <w:t>)</w:t>
      </w:r>
      <w:r w:rsidRPr="00A95E01">
        <w:t xml:space="preserve"> for each of the 5 replicates, is reported in Table 9.</w:t>
      </w:r>
    </w:p>
    <w:tbl>
      <w:tblPr>
        <w:tblW w:w="0" w:type="auto"/>
        <w:jc w:val="center"/>
        <w:tblCellMar>
          <w:left w:w="70" w:type="dxa"/>
          <w:right w:w="70" w:type="dxa"/>
        </w:tblCellMar>
        <w:tblLook w:val="04A0" w:firstRow="1" w:lastRow="0" w:firstColumn="1" w:lastColumn="0" w:noHBand="0" w:noVBand="1"/>
      </w:tblPr>
      <w:tblGrid>
        <w:gridCol w:w="851"/>
        <w:gridCol w:w="1023"/>
        <w:gridCol w:w="1060"/>
        <w:gridCol w:w="1319"/>
      </w:tblGrid>
      <w:tr w:rsidR="00AB073E" w:rsidRPr="00A95E01" w:rsidTr="00B076C2">
        <w:trPr>
          <w:trHeight w:val="310"/>
          <w:jc w:val="center"/>
        </w:trPr>
        <w:tc>
          <w:tcPr>
            <w:tcW w:w="851" w:type="dxa"/>
            <w:tcBorders>
              <w:top w:val="single" w:sz="4" w:space="0" w:color="auto"/>
              <w:left w:val="nil"/>
              <w:bottom w:val="single" w:sz="4" w:space="0" w:color="auto"/>
              <w:right w:val="nil"/>
            </w:tcBorders>
            <w:shd w:val="clear" w:color="auto" w:fill="auto"/>
            <w:noWrap/>
            <w:vAlign w:val="center"/>
            <w:hideMark/>
          </w:tcPr>
          <w:p w:rsidR="00AB073E" w:rsidRPr="00A95E01" w:rsidRDefault="00AB073E" w:rsidP="001934C9">
            <w:pPr>
              <w:spacing w:line="360" w:lineRule="auto"/>
              <w:jc w:val="center"/>
              <w:rPr>
                <w:lang w:eastAsia="fr-FR"/>
              </w:rPr>
            </w:pPr>
            <w:r w:rsidRPr="00A95E01">
              <w:rPr>
                <w:lang w:eastAsia="fr-FR"/>
              </w:rPr>
              <w:t>Exp</w:t>
            </w:r>
          </w:p>
        </w:tc>
        <w:tc>
          <w:tcPr>
            <w:tcW w:w="0" w:type="auto"/>
            <w:tcBorders>
              <w:top w:val="single" w:sz="4" w:space="0" w:color="auto"/>
              <w:left w:val="nil"/>
              <w:bottom w:val="single" w:sz="4" w:space="0" w:color="auto"/>
              <w:right w:val="nil"/>
            </w:tcBorders>
            <w:vAlign w:val="center"/>
          </w:tcPr>
          <w:p w:rsidR="00AB073E" w:rsidRPr="00A95E01" w:rsidRDefault="00AB073E" w:rsidP="001934C9">
            <w:pPr>
              <w:spacing w:line="360" w:lineRule="auto"/>
              <w:jc w:val="center"/>
              <w:rPr>
                <w:color w:val="000000"/>
                <w:lang w:eastAsia="fr-FR"/>
              </w:rPr>
            </w:pPr>
            <w:r w:rsidRPr="00A95E01">
              <w:rPr>
                <w:color w:val="000000"/>
                <w:lang w:eastAsia="fr-FR"/>
              </w:rPr>
              <w:t>m</w:t>
            </w:r>
            <w:r w:rsidRPr="00A95E01">
              <w:rPr>
                <w:color w:val="000000"/>
                <w:vertAlign w:val="subscript"/>
                <w:lang w:eastAsia="fr-FR"/>
              </w:rPr>
              <w:t>Pu</w:t>
            </w:r>
            <w:r w:rsidRPr="00A95E01">
              <w:rPr>
                <w:color w:val="000000"/>
                <w:lang w:eastAsia="fr-FR"/>
              </w:rPr>
              <w:t xml:space="preserve"> (mg)</w:t>
            </w:r>
          </w:p>
        </w:tc>
        <w:tc>
          <w:tcPr>
            <w:tcW w:w="1060" w:type="dxa"/>
            <w:tcBorders>
              <w:top w:val="single" w:sz="4" w:space="0" w:color="auto"/>
              <w:left w:val="nil"/>
              <w:bottom w:val="single" w:sz="4" w:space="0" w:color="auto"/>
              <w:right w:val="nil"/>
            </w:tcBorders>
            <w:vAlign w:val="center"/>
          </w:tcPr>
          <w:p w:rsidR="00AB073E" w:rsidRPr="00A95E01" w:rsidRDefault="00AB073E" w:rsidP="001934C9">
            <w:pPr>
              <w:spacing w:line="360" w:lineRule="auto"/>
              <w:jc w:val="center"/>
              <w:rPr>
                <w:color w:val="000000"/>
                <w:lang w:eastAsia="fr-FR"/>
              </w:rPr>
            </w:pPr>
            <w:r w:rsidRPr="00A95E01">
              <w:rPr>
                <w:color w:val="000000"/>
                <w:lang w:eastAsia="fr-FR"/>
              </w:rPr>
              <w:t>m</w:t>
            </w:r>
            <w:r w:rsidRPr="00A95E01">
              <w:rPr>
                <w:color w:val="000000"/>
                <w:vertAlign w:val="subscript"/>
                <w:lang w:eastAsia="fr-FR"/>
              </w:rPr>
              <w:t>sample</w:t>
            </w:r>
            <w:r w:rsidRPr="00A95E01">
              <w:rPr>
                <w:color w:val="000000"/>
                <w:lang w:eastAsia="fr-FR"/>
              </w:rPr>
              <w:t>(g)</w:t>
            </w:r>
          </w:p>
        </w:tc>
        <w:tc>
          <w:tcPr>
            <w:tcW w:w="1319" w:type="dxa"/>
            <w:tcBorders>
              <w:top w:val="single" w:sz="4" w:space="0" w:color="auto"/>
              <w:left w:val="nil"/>
              <w:bottom w:val="single" w:sz="4" w:space="0" w:color="auto"/>
              <w:right w:val="nil"/>
            </w:tcBorders>
            <w:shd w:val="clear" w:color="auto" w:fill="auto"/>
            <w:noWrap/>
            <w:vAlign w:val="center"/>
            <w:hideMark/>
          </w:tcPr>
          <w:p w:rsidR="00AB073E" w:rsidRPr="00A95E01" w:rsidRDefault="00AB073E" w:rsidP="001934C9">
            <w:pPr>
              <w:spacing w:line="360" w:lineRule="auto"/>
              <w:jc w:val="center"/>
              <w:rPr>
                <w:color w:val="000000"/>
                <w:lang w:eastAsia="fr-FR"/>
              </w:rPr>
            </w:pPr>
            <w:r w:rsidRPr="00A95E01">
              <w:rPr>
                <w:color w:val="000000"/>
                <w:lang w:eastAsia="fr-FR"/>
              </w:rPr>
              <w:t>[Pu] (g/kg)</w:t>
            </w:r>
          </w:p>
        </w:tc>
      </w:tr>
      <w:tr w:rsidR="00AB073E" w:rsidRPr="00A95E01" w:rsidTr="00B076C2">
        <w:trPr>
          <w:trHeight w:val="310"/>
          <w:jc w:val="center"/>
        </w:trPr>
        <w:tc>
          <w:tcPr>
            <w:tcW w:w="851" w:type="dxa"/>
            <w:tcBorders>
              <w:top w:val="single" w:sz="4" w:space="0" w:color="auto"/>
              <w:left w:val="nil"/>
              <w:bottom w:val="nil"/>
              <w:right w:val="nil"/>
            </w:tcBorders>
            <w:shd w:val="clear" w:color="auto" w:fill="auto"/>
            <w:noWrap/>
            <w:vAlign w:val="center"/>
            <w:hideMark/>
          </w:tcPr>
          <w:p w:rsidR="00AB073E" w:rsidRPr="00A95E01" w:rsidRDefault="00AB073E" w:rsidP="001934C9">
            <w:pPr>
              <w:spacing w:line="360" w:lineRule="auto"/>
              <w:jc w:val="center"/>
              <w:rPr>
                <w:lang w:eastAsia="fr-FR"/>
              </w:rPr>
            </w:pPr>
            <w:r w:rsidRPr="00A95E01">
              <w:rPr>
                <w:lang w:eastAsia="fr-FR"/>
              </w:rPr>
              <w:t>LF04</w:t>
            </w:r>
          </w:p>
        </w:tc>
        <w:tc>
          <w:tcPr>
            <w:tcW w:w="0" w:type="auto"/>
            <w:tcBorders>
              <w:top w:val="single" w:sz="4" w:space="0" w:color="auto"/>
              <w:left w:val="nil"/>
              <w:bottom w:val="nil"/>
              <w:right w:val="nil"/>
            </w:tcBorders>
            <w:vAlign w:val="center"/>
          </w:tcPr>
          <w:p w:rsidR="00AB073E" w:rsidRPr="00A95E01" w:rsidRDefault="00AB073E" w:rsidP="001934C9">
            <w:pPr>
              <w:spacing w:line="360" w:lineRule="auto"/>
              <w:jc w:val="center"/>
              <w:rPr>
                <w:color w:val="000000"/>
                <w:lang w:eastAsia="fr-FR"/>
              </w:rPr>
            </w:pPr>
            <w:r w:rsidRPr="00A95E01">
              <w:rPr>
                <w:color w:val="000000"/>
                <w:lang w:eastAsia="fr-FR"/>
              </w:rPr>
              <w:t>6.29518</w:t>
            </w:r>
          </w:p>
        </w:tc>
        <w:tc>
          <w:tcPr>
            <w:tcW w:w="1060" w:type="dxa"/>
            <w:tcBorders>
              <w:top w:val="single" w:sz="4" w:space="0" w:color="auto"/>
              <w:left w:val="nil"/>
              <w:bottom w:val="nil"/>
              <w:right w:val="nil"/>
            </w:tcBorders>
            <w:vAlign w:val="center"/>
          </w:tcPr>
          <w:p w:rsidR="00AB073E" w:rsidRPr="00A95E01" w:rsidRDefault="00AB073E" w:rsidP="001934C9">
            <w:pPr>
              <w:spacing w:line="360" w:lineRule="auto"/>
              <w:jc w:val="center"/>
              <w:rPr>
                <w:color w:val="000000"/>
                <w:lang w:eastAsia="fr-FR"/>
              </w:rPr>
            </w:pPr>
            <w:r w:rsidRPr="00A95E01">
              <w:t>4.22942</w:t>
            </w:r>
          </w:p>
        </w:tc>
        <w:tc>
          <w:tcPr>
            <w:tcW w:w="1319" w:type="dxa"/>
            <w:tcBorders>
              <w:top w:val="single" w:sz="4" w:space="0" w:color="auto"/>
              <w:left w:val="nil"/>
              <w:bottom w:val="nil"/>
              <w:right w:val="nil"/>
            </w:tcBorders>
            <w:shd w:val="clear" w:color="auto" w:fill="auto"/>
            <w:noWrap/>
            <w:vAlign w:val="center"/>
            <w:hideMark/>
          </w:tcPr>
          <w:p w:rsidR="00AB073E" w:rsidRPr="00A95E01" w:rsidRDefault="00AB073E" w:rsidP="001934C9">
            <w:pPr>
              <w:spacing w:line="360" w:lineRule="auto"/>
              <w:jc w:val="center"/>
              <w:rPr>
                <w:color w:val="000000"/>
                <w:lang w:eastAsia="fr-FR"/>
              </w:rPr>
            </w:pPr>
            <w:r w:rsidRPr="00A95E01">
              <w:t>5.5343</w:t>
            </w:r>
          </w:p>
        </w:tc>
      </w:tr>
      <w:tr w:rsidR="00AB073E" w:rsidRPr="00A95E01" w:rsidTr="00B076C2">
        <w:trPr>
          <w:trHeight w:val="310"/>
          <w:jc w:val="center"/>
        </w:trPr>
        <w:tc>
          <w:tcPr>
            <w:tcW w:w="851" w:type="dxa"/>
            <w:tcBorders>
              <w:top w:val="nil"/>
              <w:left w:val="nil"/>
              <w:bottom w:val="nil"/>
              <w:right w:val="nil"/>
            </w:tcBorders>
            <w:shd w:val="clear" w:color="auto" w:fill="auto"/>
            <w:noWrap/>
            <w:vAlign w:val="center"/>
            <w:hideMark/>
          </w:tcPr>
          <w:p w:rsidR="00AB073E" w:rsidRPr="00A95E01" w:rsidRDefault="00AB073E" w:rsidP="001934C9">
            <w:pPr>
              <w:spacing w:line="360" w:lineRule="auto"/>
              <w:jc w:val="center"/>
              <w:rPr>
                <w:lang w:eastAsia="fr-FR"/>
              </w:rPr>
            </w:pPr>
            <w:r w:rsidRPr="00A95E01">
              <w:rPr>
                <w:lang w:eastAsia="fr-FR"/>
              </w:rPr>
              <w:t>LF05</w:t>
            </w:r>
          </w:p>
        </w:tc>
        <w:tc>
          <w:tcPr>
            <w:tcW w:w="0" w:type="auto"/>
            <w:tcBorders>
              <w:top w:val="nil"/>
              <w:left w:val="nil"/>
              <w:bottom w:val="nil"/>
              <w:right w:val="nil"/>
            </w:tcBorders>
            <w:vAlign w:val="center"/>
          </w:tcPr>
          <w:p w:rsidR="00AB073E" w:rsidRPr="00A95E01" w:rsidRDefault="00AB073E" w:rsidP="001934C9">
            <w:pPr>
              <w:spacing w:line="360" w:lineRule="auto"/>
              <w:jc w:val="center"/>
              <w:rPr>
                <w:color w:val="000000"/>
                <w:lang w:eastAsia="fr-FR"/>
              </w:rPr>
            </w:pPr>
            <w:r w:rsidRPr="00A95E01">
              <w:rPr>
                <w:color w:val="000000"/>
                <w:lang w:eastAsia="fr-FR"/>
              </w:rPr>
              <w:t>6.27852</w:t>
            </w:r>
          </w:p>
        </w:tc>
        <w:tc>
          <w:tcPr>
            <w:tcW w:w="1060" w:type="dxa"/>
            <w:tcBorders>
              <w:top w:val="nil"/>
              <w:left w:val="nil"/>
              <w:bottom w:val="nil"/>
              <w:right w:val="nil"/>
            </w:tcBorders>
            <w:vAlign w:val="center"/>
          </w:tcPr>
          <w:p w:rsidR="00AB073E" w:rsidRPr="00A95E01" w:rsidRDefault="00AB073E" w:rsidP="001934C9">
            <w:pPr>
              <w:spacing w:line="360" w:lineRule="auto"/>
              <w:jc w:val="center"/>
              <w:rPr>
                <w:color w:val="000000"/>
                <w:lang w:eastAsia="fr-FR"/>
              </w:rPr>
            </w:pPr>
            <w:r w:rsidRPr="00A95E01">
              <w:t>4.22274</w:t>
            </w:r>
          </w:p>
        </w:tc>
        <w:tc>
          <w:tcPr>
            <w:tcW w:w="1319" w:type="dxa"/>
            <w:tcBorders>
              <w:top w:val="nil"/>
              <w:left w:val="nil"/>
              <w:bottom w:val="nil"/>
              <w:right w:val="nil"/>
            </w:tcBorders>
            <w:shd w:val="clear" w:color="auto" w:fill="auto"/>
            <w:noWrap/>
            <w:vAlign w:val="center"/>
            <w:hideMark/>
          </w:tcPr>
          <w:p w:rsidR="00AB073E" w:rsidRPr="00A95E01" w:rsidRDefault="00AB073E" w:rsidP="001934C9">
            <w:pPr>
              <w:spacing w:line="360" w:lineRule="auto"/>
              <w:jc w:val="center"/>
              <w:rPr>
                <w:color w:val="000000"/>
                <w:lang w:eastAsia="fr-FR"/>
              </w:rPr>
            </w:pPr>
            <w:r w:rsidRPr="00A95E01">
              <w:t>5.5284</w:t>
            </w:r>
          </w:p>
        </w:tc>
      </w:tr>
      <w:tr w:rsidR="00AB073E" w:rsidRPr="00A95E01" w:rsidTr="00B076C2">
        <w:trPr>
          <w:trHeight w:val="310"/>
          <w:jc w:val="center"/>
        </w:trPr>
        <w:tc>
          <w:tcPr>
            <w:tcW w:w="851" w:type="dxa"/>
            <w:tcBorders>
              <w:top w:val="nil"/>
              <w:left w:val="nil"/>
              <w:bottom w:val="nil"/>
              <w:right w:val="nil"/>
            </w:tcBorders>
            <w:shd w:val="clear" w:color="auto" w:fill="auto"/>
            <w:noWrap/>
            <w:vAlign w:val="center"/>
            <w:hideMark/>
          </w:tcPr>
          <w:p w:rsidR="00AB073E" w:rsidRPr="00A95E01" w:rsidRDefault="00AB073E" w:rsidP="001934C9">
            <w:pPr>
              <w:spacing w:line="360" w:lineRule="auto"/>
              <w:jc w:val="center"/>
              <w:rPr>
                <w:lang w:eastAsia="fr-FR"/>
              </w:rPr>
            </w:pPr>
            <w:r w:rsidRPr="00A95E01">
              <w:rPr>
                <w:lang w:eastAsia="fr-FR"/>
              </w:rPr>
              <w:t>LF06</w:t>
            </w:r>
          </w:p>
        </w:tc>
        <w:tc>
          <w:tcPr>
            <w:tcW w:w="0" w:type="auto"/>
            <w:tcBorders>
              <w:top w:val="nil"/>
              <w:left w:val="nil"/>
              <w:bottom w:val="nil"/>
              <w:right w:val="nil"/>
            </w:tcBorders>
            <w:vAlign w:val="center"/>
          </w:tcPr>
          <w:p w:rsidR="00AB073E" w:rsidRPr="00A95E01" w:rsidRDefault="00AB073E" w:rsidP="001934C9">
            <w:pPr>
              <w:spacing w:line="360" w:lineRule="auto"/>
              <w:jc w:val="center"/>
              <w:rPr>
                <w:color w:val="000000"/>
                <w:lang w:eastAsia="fr-FR"/>
              </w:rPr>
            </w:pPr>
            <w:r w:rsidRPr="00A95E01">
              <w:rPr>
                <w:color w:val="000000"/>
                <w:lang w:eastAsia="fr-FR"/>
              </w:rPr>
              <w:t>6.31913</w:t>
            </w:r>
          </w:p>
        </w:tc>
        <w:tc>
          <w:tcPr>
            <w:tcW w:w="1060" w:type="dxa"/>
            <w:tcBorders>
              <w:top w:val="nil"/>
              <w:left w:val="nil"/>
              <w:bottom w:val="nil"/>
              <w:right w:val="nil"/>
            </w:tcBorders>
            <w:vAlign w:val="center"/>
          </w:tcPr>
          <w:p w:rsidR="00AB073E" w:rsidRPr="00A95E01" w:rsidRDefault="00AB073E" w:rsidP="001934C9">
            <w:pPr>
              <w:spacing w:line="360" w:lineRule="auto"/>
              <w:jc w:val="center"/>
              <w:rPr>
                <w:color w:val="000000"/>
                <w:lang w:eastAsia="fr-FR"/>
              </w:rPr>
            </w:pPr>
            <w:r w:rsidRPr="00A95E01">
              <w:t>4.24528</w:t>
            </w:r>
          </w:p>
        </w:tc>
        <w:tc>
          <w:tcPr>
            <w:tcW w:w="1319" w:type="dxa"/>
            <w:tcBorders>
              <w:top w:val="nil"/>
              <w:left w:val="nil"/>
              <w:bottom w:val="nil"/>
              <w:right w:val="nil"/>
            </w:tcBorders>
            <w:shd w:val="clear" w:color="auto" w:fill="auto"/>
            <w:noWrap/>
            <w:vAlign w:val="center"/>
            <w:hideMark/>
          </w:tcPr>
          <w:p w:rsidR="00AB073E" w:rsidRPr="00A95E01" w:rsidRDefault="00AB073E" w:rsidP="001934C9">
            <w:pPr>
              <w:spacing w:line="360" w:lineRule="auto"/>
              <w:jc w:val="center"/>
              <w:rPr>
                <w:color w:val="000000"/>
                <w:lang w:eastAsia="fr-FR"/>
              </w:rPr>
            </w:pPr>
            <w:r w:rsidRPr="00A95E01">
              <w:t>5.5347</w:t>
            </w:r>
          </w:p>
        </w:tc>
      </w:tr>
      <w:tr w:rsidR="00AB073E" w:rsidRPr="00A95E01" w:rsidTr="00B076C2">
        <w:trPr>
          <w:trHeight w:val="310"/>
          <w:jc w:val="center"/>
        </w:trPr>
        <w:tc>
          <w:tcPr>
            <w:tcW w:w="851" w:type="dxa"/>
            <w:tcBorders>
              <w:top w:val="nil"/>
              <w:left w:val="nil"/>
              <w:right w:val="nil"/>
            </w:tcBorders>
            <w:shd w:val="clear" w:color="auto" w:fill="auto"/>
            <w:noWrap/>
            <w:vAlign w:val="center"/>
            <w:hideMark/>
          </w:tcPr>
          <w:p w:rsidR="00AB073E" w:rsidRPr="00A95E01" w:rsidRDefault="00AB073E" w:rsidP="001934C9">
            <w:pPr>
              <w:spacing w:line="360" w:lineRule="auto"/>
              <w:jc w:val="center"/>
              <w:rPr>
                <w:lang w:eastAsia="fr-FR"/>
              </w:rPr>
            </w:pPr>
            <w:r w:rsidRPr="00A95E01">
              <w:rPr>
                <w:lang w:eastAsia="fr-FR"/>
              </w:rPr>
              <w:t>LF07</w:t>
            </w:r>
          </w:p>
        </w:tc>
        <w:tc>
          <w:tcPr>
            <w:tcW w:w="0" w:type="auto"/>
            <w:tcBorders>
              <w:top w:val="nil"/>
              <w:left w:val="nil"/>
              <w:right w:val="nil"/>
            </w:tcBorders>
            <w:vAlign w:val="center"/>
          </w:tcPr>
          <w:p w:rsidR="00AB073E" w:rsidRPr="00A95E01" w:rsidRDefault="00AB073E" w:rsidP="001934C9">
            <w:pPr>
              <w:spacing w:line="360" w:lineRule="auto"/>
              <w:jc w:val="center"/>
              <w:rPr>
                <w:color w:val="000000"/>
                <w:lang w:eastAsia="fr-FR"/>
              </w:rPr>
            </w:pPr>
            <w:r w:rsidRPr="00A95E01">
              <w:rPr>
                <w:color w:val="000000"/>
                <w:lang w:eastAsia="fr-FR"/>
              </w:rPr>
              <w:t>6.29521</w:t>
            </w:r>
          </w:p>
        </w:tc>
        <w:tc>
          <w:tcPr>
            <w:tcW w:w="1060" w:type="dxa"/>
            <w:tcBorders>
              <w:top w:val="nil"/>
              <w:left w:val="nil"/>
              <w:right w:val="nil"/>
            </w:tcBorders>
            <w:vAlign w:val="center"/>
          </w:tcPr>
          <w:p w:rsidR="00AB073E" w:rsidRPr="00A95E01" w:rsidRDefault="00AB073E" w:rsidP="001934C9">
            <w:pPr>
              <w:spacing w:line="360" w:lineRule="auto"/>
              <w:jc w:val="center"/>
              <w:rPr>
                <w:color w:val="000000"/>
                <w:lang w:eastAsia="fr-FR"/>
              </w:rPr>
            </w:pPr>
            <w:r w:rsidRPr="00A95E01">
              <w:t>4.23475</w:t>
            </w:r>
          </w:p>
        </w:tc>
        <w:tc>
          <w:tcPr>
            <w:tcW w:w="1319" w:type="dxa"/>
            <w:tcBorders>
              <w:top w:val="nil"/>
              <w:left w:val="nil"/>
              <w:right w:val="nil"/>
            </w:tcBorders>
            <w:shd w:val="clear" w:color="auto" w:fill="auto"/>
            <w:noWrap/>
            <w:vAlign w:val="center"/>
            <w:hideMark/>
          </w:tcPr>
          <w:p w:rsidR="00AB073E" w:rsidRPr="00A95E01" w:rsidRDefault="00AB073E" w:rsidP="001934C9">
            <w:pPr>
              <w:spacing w:line="360" w:lineRule="auto"/>
              <w:jc w:val="center"/>
              <w:rPr>
                <w:color w:val="000000"/>
                <w:lang w:eastAsia="fr-FR"/>
              </w:rPr>
            </w:pPr>
            <w:r w:rsidRPr="00A95E01">
              <w:t>5.5274</w:t>
            </w:r>
          </w:p>
        </w:tc>
      </w:tr>
      <w:tr w:rsidR="00AB073E" w:rsidRPr="00A95E01" w:rsidTr="00B076C2">
        <w:trPr>
          <w:trHeight w:val="310"/>
          <w:jc w:val="center"/>
        </w:trPr>
        <w:tc>
          <w:tcPr>
            <w:tcW w:w="851" w:type="dxa"/>
            <w:tcBorders>
              <w:top w:val="nil"/>
              <w:left w:val="nil"/>
              <w:bottom w:val="nil"/>
              <w:right w:val="nil"/>
            </w:tcBorders>
            <w:shd w:val="clear" w:color="auto" w:fill="auto"/>
            <w:noWrap/>
            <w:vAlign w:val="center"/>
            <w:hideMark/>
          </w:tcPr>
          <w:p w:rsidR="00AB073E" w:rsidRPr="00A95E01" w:rsidRDefault="00AB073E" w:rsidP="001934C9">
            <w:pPr>
              <w:spacing w:line="360" w:lineRule="auto"/>
              <w:jc w:val="center"/>
              <w:rPr>
                <w:lang w:eastAsia="fr-FR"/>
              </w:rPr>
            </w:pPr>
            <w:r w:rsidRPr="00A95E01">
              <w:rPr>
                <w:lang w:eastAsia="fr-FR"/>
              </w:rPr>
              <w:t>LF08</w:t>
            </w:r>
          </w:p>
        </w:tc>
        <w:tc>
          <w:tcPr>
            <w:tcW w:w="0" w:type="auto"/>
            <w:tcBorders>
              <w:top w:val="nil"/>
              <w:left w:val="nil"/>
              <w:bottom w:val="nil"/>
              <w:right w:val="nil"/>
            </w:tcBorders>
            <w:vAlign w:val="center"/>
          </w:tcPr>
          <w:p w:rsidR="00AB073E" w:rsidRPr="00A95E01" w:rsidRDefault="00AB073E" w:rsidP="001934C9">
            <w:pPr>
              <w:spacing w:line="360" w:lineRule="auto"/>
              <w:jc w:val="center"/>
              <w:rPr>
                <w:color w:val="000000"/>
                <w:lang w:eastAsia="fr-FR"/>
              </w:rPr>
            </w:pPr>
            <w:r w:rsidRPr="00A95E01">
              <w:rPr>
                <w:color w:val="000000"/>
                <w:lang w:eastAsia="fr-FR"/>
              </w:rPr>
              <w:t>6.29357</w:t>
            </w:r>
          </w:p>
        </w:tc>
        <w:tc>
          <w:tcPr>
            <w:tcW w:w="1060" w:type="dxa"/>
            <w:tcBorders>
              <w:top w:val="nil"/>
              <w:left w:val="nil"/>
              <w:bottom w:val="nil"/>
              <w:right w:val="nil"/>
            </w:tcBorders>
            <w:vAlign w:val="center"/>
          </w:tcPr>
          <w:p w:rsidR="00AB073E" w:rsidRPr="00A95E01" w:rsidRDefault="00AB073E" w:rsidP="001934C9">
            <w:pPr>
              <w:spacing w:line="360" w:lineRule="auto"/>
              <w:jc w:val="center"/>
              <w:rPr>
                <w:color w:val="000000"/>
                <w:lang w:eastAsia="fr-FR"/>
              </w:rPr>
            </w:pPr>
            <w:r w:rsidRPr="00A95E01">
              <w:t>4.23285</w:t>
            </w:r>
          </w:p>
        </w:tc>
        <w:tc>
          <w:tcPr>
            <w:tcW w:w="1319" w:type="dxa"/>
            <w:tcBorders>
              <w:top w:val="nil"/>
              <w:left w:val="nil"/>
              <w:bottom w:val="nil"/>
              <w:right w:val="nil"/>
            </w:tcBorders>
            <w:shd w:val="clear" w:color="auto" w:fill="auto"/>
            <w:noWrap/>
            <w:vAlign w:val="center"/>
            <w:hideMark/>
          </w:tcPr>
          <w:p w:rsidR="00AB073E" w:rsidRPr="00A95E01" w:rsidRDefault="00AB073E" w:rsidP="001934C9">
            <w:pPr>
              <w:spacing w:line="360" w:lineRule="auto"/>
              <w:jc w:val="center"/>
              <w:rPr>
                <w:color w:val="000000"/>
                <w:lang w:eastAsia="fr-FR"/>
              </w:rPr>
            </w:pPr>
            <w:r w:rsidRPr="00A95E01">
              <w:t>5.5285</w:t>
            </w:r>
          </w:p>
        </w:tc>
      </w:tr>
      <w:tr w:rsidR="00AB073E" w:rsidRPr="00A95E01" w:rsidTr="00B076C2">
        <w:trPr>
          <w:trHeight w:val="310"/>
          <w:jc w:val="center"/>
        </w:trPr>
        <w:tc>
          <w:tcPr>
            <w:tcW w:w="851" w:type="dxa"/>
            <w:tcBorders>
              <w:top w:val="nil"/>
              <w:left w:val="nil"/>
              <w:bottom w:val="nil"/>
              <w:right w:val="nil"/>
            </w:tcBorders>
            <w:shd w:val="clear" w:color="auto" w:fill="auto"/>
            <w:noWrap/>
            <w:vAlign w:val="center"/>
          </w:tcPr>
          <w:p w:rsidR="00AB073E" w:rsidRPr="00A95E01" w:rsidRDefault="00AB073E" w:rsidP="001934C9">
            <w:pPr>
              <w:spacing w:line="360" w:lineRule="auto"/>
              <w:jc w:val="center"/>
              <w:rPr>
                <w:lang w:eastAsia="fr-FR"/>
              </w:rPr>
            </w:pPr>
          </w:p>
        </w:tc>
        <w:tc>
          <w:tcPr>
            <w:tcW w:w="0" w:type="auto"/>
            <w:tcBorders>
              <w:top w:val="nil"/>
              <w:left w:val="nil"/>
              <w:bottom w:val="nil"/>
              <w:right w:val="nil"/>
            </w:tcBorders>
            <w:vAlign w:val="center"/>
          </w:tcPr>
          <w:p w:rsidR="00AB073E" w:rsidRPr="00A95E01" w:rsidRDefault="00AB073E" w:rsidP="001934C9">
            <w:pPr>
              <w:spacing w:line="360" w:lineRule="auto"/>
              <w:jc w:val="center"/>
              <w:rPr>
                <w:color w:val="000000"/>
                <w:lang w:eastAsia="fr-FR"/>
              </w:rPr>
            </w:pPr>
          </w:p>
        </w:tc>
        <w:tc>
          <w:tcPr>
            <w:tcW w:w="1060" w:type="dxa"/>
            <w:tcBorders>
              <w:top w:val="nil"/>
              <w:left w:val="nil"/>
              <w:bottom w:val="nil"/>
              <w:right w:val="nil"/>
            </w:tcBorders>
            <w:vAlign w:val="center"/>
          </w:tcPr>
          <w:p w:rsidR="00AB073E" w:rsidRPr="00A95E01" w:rsidRDefault="00AB073E" w:rsidP="001934C9">
            <w:pPr>
              <w:spacing w:line="360" w:lineRule="auto"/>
              <w:jc w:val="center"/>
              <w:rPr>
                <w:sz w:val="16"/>
                <w:szCs w:val="16"/>
              </w:rPr>
            </w:pPr>
            <w:r w:rsidRPr="00A95E01">
              <w:rPr>
                <w:sz w:val="16"/>
                <w:szCs w:val="16"/>
              </w:rPr>
              <w:t>Mean value</w:t>
            </w:r>
          </w:p>
        </w:tc>
        <w:tc>
          <w:tcPr>
            <w:tcW w:w="1319" w:type="dxa"/>
            <w:tcBorders>
              <w:top w:val="nil"/>
              <w:left w:val="nil"/>
              <w:bottom w:val="nil"/>
              <w:right w:val="nil"/>
            </w:tcBorders>
            <w:shd w:val="clear" w:color="auto" w:fill="auto"/>
            <w:noWrap/>
            <w:vAlign w:val="center"/>
          </w:tcPr>
          <w:p w:rsidR="00AB073E" w:rsidRPr="00A95E01" w:rsidRDefault="00AB073E" w:rsidP="001934C9">
            <w:pPr>
              <w:spacing w:line="360" w:lineRule="auto"/>
              <w:jc w:val="center"/>
            </w:pPr>
            <w:r w:rsidRPr="00A95E01">
              <w:t>5.5307</w:t>
            </w:r>
          </w:p>
        </w:tc>
      </w:tr>
      <w:tr w:rsidR="00AB073E" w:rsidRPr="00A95E01" w:rsidTr="00B076C2">
        <w:trPr>
          <w:trHeight w:val="310"/>
          <w:jc w:val="center"/>
        </w:trPr>
        <w:tc>
          <w:tcPr>
            <w:tcW w:w="851" w:type="dxa"/>
            <w:tcBorders>
              <w:top w:val="nil"/>
              <w:left w:val="nil"/>
              <w:bottom w:val="single" w:sz="4" w:space="0" w:color="auto"/>
              <w:right w:val="nil"/>
            </w:tcBorders>
            <w:shd w:val="clear" w:color="auto" w:fill="auto"/>
            <w:noWrap/>
            <w:vAlign w:val="center"/>
          </w:tcPr>
          <w:p w:rsidR="00AB073E" w:rsidRPr="00A95E01" w:rsidRDefault="00AB073E" w:rsidP="001934C9">
            <w:pPr>
              <w:spacing w:line="360" w:lineRule="auto"/>
              <w:jc w:val="center"/>
              <w:rPr>
                <w:lang w:eastAsia="fr-FR"/>
              </w:rPr>
            </w:pPr>
          </w:p>
        </w:tc>
        <w:tc>
          <w:tcPr>
            <w:tcW w:w="0" w:type="auto"/>
            <w:tcBorders>
              <w:top w:val="nil"/>
              <w:left w:val="nil"/>
              <w:bottom w:val="single" w:sz="4" w:space="0" w:color="auto"/>
              <w:right w:val="nil"/>
            </w:tcBorders>
            <w:vAlign w:val="center"/>
          </w:tcPr>
          <w:p w:rsidR="00AB073E" w:rsidRPr="00A95E01" w:rsidRDefault="00AB073E" w:rsidP="001934C9">
            <w:pPr>
              <w:spacing w:line="360" w:lineRule="auto"/>
              <w:jc w:val="center"/>
              <w:rPr>
                <w:color w:val="000000"/>
                <w:lang w:eastAsia="fr-FR"/>
              </w:rPr>
            </w:pPr>
          </w:p>
        </w:tc>
        <w:tc>
          <w:tcPr>
            <w:tcW w:w="1060" w:type="dxa"/>
            <w:tcBorders>
              <w:top w:val="nil"/>
              <w:left w:val="nil"/>
              <w:bottom w:val="single" w:sz="4" w:space="0" w:color="auto"/>
              <w:right w:val="nil"/>
            </w:tcBorders>
            <w:vAlign w:val="center"/>
          </w:tcPr>
          <w:p w:rsidR="00AB073E" w:rsidRPr="00A95E01" w:rsidRDefault="00AB073E" w:rsidP="001934C9">
            <w:pPr>
              <w:spacing w:line="360" w:lineRule="auto"/>
              <w:jc w:val="center"/>
              <w:rPr>
                <w:sz w:val="16"/>
                <w:szCs w:val="16"/>
              </w:rPr>
            </w:pPr>
            <w:r w:rsidRPr="00A95E01">
              <w:rPr>
                <w:sz w:val="16"/>
                <w:szCs w:val="16"/>
              </w:rPr>
              <w:t>Standard uncert.</w:t>
            </w:r>
          </w:p>
        </w:tc>
        <w:tc>
          <w:tcPr>
            <w:tcW w:w="1319" w:type="dxa"/>
            <w:tcBorders>
              <w:top w:val="nil"/>
              <w:left w:val="nil"/>
              <w:bottom w:val="single" w:sz="4" w:space="0" w:color="auto"/>
              <w:right w:val="nil"/>
            </w:tcBorders>
            <w:shd w:val="clear" w:color="auto" w:fill="auto"/>
            <w:noWrap/>
            <w:vAlign w:val="center"/>
          </w:tcPr>
          <w:p w:rsidR="00AB073E" w:rsidRPr="00A95E01" w:rsidRDefault="00AB073E" w:rsidP="001934C9">
            <w:pPr>
              <w:spacing w:line="360" w:lineRule="auto"/>
              <w:jc w:val="center"/>
            </w:pPr>
            <w:r w:rsidRPr="00A95E01">
              <w:t>0.0035</w:t>
            </w:r>
          </w:p>
        </w:tc>
      </w:tr>
    </w:tbl>
    <w:p w:rsidR="00AB073E" w:rsidRPr="00A95E01" w:rsidRDefault="00AB073E" w:rsidP="00B076C2">
      <w:pPr>
        <w:spacing w:line="360" w:lineRule="auto"/>
        <w:ind w:left="360"/>
        <w:jc w:val="center"/>
      </w:pPr>
      <w:r w:rsidRPr="00A95E01">
        <w:rPr>
          <w:b/>
        </w:rPr>
        <w:t>Table 9</w:t>
      </w:r>
      <w:r w:rsidRPr="00A95E01">
        <w:t xml:space="preserve"> Pu mass fraction in g/kg determined from the experimental analyses performed</w:t>
      </w:r>
    </w:p>
    <w:p w:rsidR="00AB073E" w:rsidRPr="00A95E01" w:rsidRDefault="00AB073E" w:rsidP="001934C9">
      <w:pPr>
        <w:spacing w:line="360" w:lineRule="auto"/>
        <w:jc w:val="both"/>
      </w:pPr>
      <w:r w:rsidRPr="00A95E01">
        <w:t xml:space="preserve">The final analysis result was determined from the mean of the 5 replicates and calculated to be </w:t>
      </w:r>
      <w:r w:rsidRPr="00A95E01">
        <w:rPr>
          <w:i/>
        </w:rPr>
        <w:t>[Pu]</w:t>
      </w:r>
      <w:r w:rsidRPr="00A95E01">
        <w:rPr>
          <w:i/>
          <w:vertAlign w:val="subscript"/>
        </w:rPr>
        <w:t>mean </w:t>
      </w:r>
      <w:r w:rsidRPr="00A95E01">
        <w:t>= 5.5307 g/kg. The bias on this value was calculated (from Equ</w:t>
      </w:r>
      <w:r w:rsidR="00B076C2" w:rsidRPr="00A95E01">
        <w:t>.</w:t>
      </w:r>
      <w:r w:rsidRPr="00A95E01">
        <w:t xml:space="preserve"> </w:t>
      </w:r>
      <w:r w:rsidR="00B076C2" w:rsidRPr="00A95E01">
        <w:t>(</w:t>
      </w:r>
      <w:r w:rsidRPr="00A95E01">
        <w:t>17</w:t>
      </w:r>
      <w:r w:rsidR="00B076C2" w:rsidRPr="00A95E01">
        <w:t>)</w:t>
      </w:r>
      <w:r w:rsidRPr="00A95E01">
        <w:t xml:space="preserve">) as </w:t>
      </w:r>
      <w:r w:rsidR="00B076C2" w:rsidRPr="00A95E01">
        <w:softHyphen/>
      </w:r>
      <w:r w:rsidRPr="00A95E01">
        <w:t xml:space="preserve">0.035%. </w:t>
      </w:r>
    </w:p>
    <w:p w:rsidR="00AB073E" w:rsidRPr="00A95E01" w:rsidRDefault="00AB073E" w:rsidP="001934C9">
      <w:pPr>
        <w:spacing w:line="360" w:lineRule="auto"/>
        <w:jc w:val="both"/>
      </w:pPr>
    </w:p>
    <w:p w:rsidR="00AB073E" w:rsidRPr="00A95E01" w:rsidRDefault="00AB073E" w:rsidP="001934C9">
      <w:pPr>
        <w:spacing w:line="360" w:lineRule="auto"/>
        <w:jc w:val="center"/>
      </w:pPr>
      <m:oMath>
        <m:r>
          <w:rPr>
            <w:rFonts w:ascii="Cambria Math" w:hAnsi="Cambria Math"/>
          </w:rPr>
          <w:lastRenderedPageBreak/>
          <m:t>bias=</m:t>
        </m:r>
        <m:f>
          <m:fPr>
            <m:ctrlPr>
              <w:rPr>
                <w:rFonts w:ascii="Cambria Math" w:hAnsi="Cambria Math"/>
                <w:i/>
              </w:rPr>
            </m:ctrlPr>
          </m:fPr>
          <m:num>
            <m:sSub>
              <m:sSubPr>
                <m:ctrlPr>
                  <w:rPr>
                    <w:rFonts w:ascii="Cambria Math" w:hAnsi="Cambria Math"/>
                    <w:i/>
                  </w:rPr>
                </m:ctrlPr>
              </m:sSubPr>
              <m:e>
                <m:r>
                  <w:rPr>
                    <w:rFonts w:ascii="Cambria Math" w:hAnsi="Cambria Math"/>
                  </w:rPr>
                  <m:t>[Pu]</m:t>
                </m:r>
              </m:e>
              <m:sub>
                <m:r>
                  <w:rPr>
                    <w:rFonts w:ascii="Cambria Math" w:hAnsi="Cambria Math"/>
                  </w:rPr>
                  <m:t>mean</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Pu</m:t>
                    </m:r>
                  </m:e>
                </m:d>
              </m:e>
              <m:sub>
                <m:r>
                  <w:rPr>
                    <w:rFonts w:ascii="Cambria Math" w:hAnsi="Cambria Math"/>
                  </w:rPr>
                  <m:t>ref</m:t>
                </m:r>
              </m:sub>
            </m:sSub>
          </m:num>
          <m:den>
            <m:sSub>
              <m:sSubPr>
                <m:ctrlPr>
                  <w:rPr>
                    <w:rFonts w:ascii="Cambria Math" w:hAnsi="Cambria Math"/>
                    <w:i/>
                  </w:rPr>
                </m:ctrlPr>
              </m:sSubPr>
              <m:e>
                <m:r>
                  <w:rPr>
                    <w:rFonts w:ascii="Cambria Math" w:hAnsi="Cambria Math"/>
                  </w:rPr>
                  <m:t>[Pu]</m:t>
                </m:r>
              </m:e>
              <m:sub>
                <m:r>
                  <w:rPr>
                    <w:rFonts w:ascii="Cambria Math" w:hAnsi="Cambria Math"/>
                  </w:rPr>
                  <m:t>ref</m:t>
                </m:r>
              </m:sub>
            </m:sSub>
          </m:den>
        </m:f>
        <m:r>
          <w:rPr>
            <w:rFonts w:ascii="Cambria Math" w:hAnsi="Cambria Math"/>
          </w:rPr>
          <m:t>=</m:t>
        </m:r>
        <m:f>
          <m:fPr>
            <m:ctrlPr>
              <w:rPr>
                <w:rFonts w:ascii="Cambria Math" w:hAnsi="Cambria Math"/>
                <w:i/>
              </w:rPr>
            </m:ctrlPr>
          </m:fPr>
          <m:num>
            <m:r>
              <w:rPr>
                <w:rFonts w:ascii="Cambria Math" w:hAnsi="Cambria Math"/>
              </w:rPr>
              <m:t>5.5307-5.5326</m:t>
            </m:r>
          </m:num>
          <m:den>
            <m:r>
              <w:rPr>
                <w:rFonts w:ascii="Cambria Math" w:hAnsi="Cambria Math"/>
              </w:rPr>
              <m:t>5.5326</m:t>
            </m:r>
          </m:den>
        </m:f>
        <m:r>
          <w:rPr>
            <w:rFonts w:ascii="Cambria Math" w:hAnsi="Cambria Math"/>
          </w:rPr>
          <m:t>=-0.035%</m:t>
        </m:r>
      </m:oMath>
      <w:r w:rsidR="00B076C2" w:rsidRPr="00A95E01">
        <w:tab/>
      </w:r>
      <w:r w:rsidR="00B076C2" w:rsidRPr="00A95E01">
        <w:tab/>
      </w:r>
      <w:r w:rsidR="00B076C2" w:rsidRPr="00A95E01">
        <w:tab/>
      </w:r>
      <w:r w:rsidRPr="00A95E01">
        <w:t>(17)</w:t>
      </w:r>
    </w:p>
    <w:p w:rsidR="00AB073E" w:rsidRPr="00A95E01" w:rsidRDefault="00AB073E" w:rsidP="001934C9">
      <w:pPr>
        <w:spacing w:line="360" w:lineRule="auto"/>
        <w:jc w:val="both"/>
      </w:pPr>
      <w:r w:rsidRPr="00A95E01">
        <w:t xml:space="preserve">The estimation of the standard uncertainty in condition of repeatability with 5 replicates is equal to 0.0035 g/kg. This is consistent with the standard uncertainty calculated by the MCM approach which is 0.0023 g/kg  and can be used to estimate the trueness of the method. </w:t>
      </w:r>
    </w:p>
    <w:p w:rsidR="00AB073E" w:rsidRPr="00A95E01" w:rsidRDefault="00AB073E" w:rsidP="001934C9">
      <w:pPr>
        <w:spacing w:line="360" w:lineRule="auto"/>
        <w:jc w:val="both"/>
      </w:pPr>
      <w:r w:rsidRPr="00A95E01">
        <w:t xml:space="preserve">The significance of the method’s bias was then analyzed through the normalized deviation term, </w:t>
      </w:r>
      <w:r w:rsidRPr="00A95E01">
        <w:rPr>
          <w:i/>
        </w:rPr>
        <w:t>E</w:t>
      </w:r>
      <w:r w:rsidRPr="00A95E01">
        <w:rPr>
          <w:i/>
          <w:vertAlign w:val="subscript"/>
        </w:rPr>
        <w:t>n</w:t>
      </w:r>
      <w:r w:rsidRPr="00A95E01">
        <w:t xml:space="preserve"> , as shown in </w:t>
      </w:r>
      <w:r w:rsidR="00B076C2" w:rsidRPr="00A95E01">
        <w:t>Eq.</w:t>
      </w:r>
      <w:r w:rsidRPr="00A95E01">
        <w:t xml:space="preserve"> </w:t>
      </w:r>
      <w:r w:rsidR="00B076C2" w:rsidRPr="00A95E01">
        <w:t>(</w:t>
      </w:r>
      <w:r w:rsidRPr="00A95E01">
        <w:t>18</w:t>
      </w:r>
      <w:r w:rsidR="00B076C2" w:rsidRPr="00A95E01">
        <w:t>)</w:t>
      </w:r>
      <w:r w:rsidRPr="00A95E01">
        <w:t xml:space="preserve"> (where </w:t>
      </w:r>
      <w:r w:rsidRPr="00A95E01">
        <w:rPr>
          <w:i/>
        </w:rPr>
        <w:t>[Pu]</w:t>
      </w:r>
      <w:r w:rsidRPr="00A95E01">
        <w:rPr>
          <w:i/>
          <w:vertAlign w:val="subscript"/>
        </w:rPr>
        <w:t xml:space="preserve">ref </w:t>
      </w:r>
      <w:r w:rsidRPr="00A95E01">
        <w:t xml:space="preserve">= 5.5326 g/kg, </w:t>
      </w:r>
      <w:r w:rsidRPr="00A95E01">
        <w:rPr>
          <w:i/>
        </w:rPr>
        <w:t>u</w:t>
      </w:r>
      <w:r w:rsidRPr="00A95E01">
        <w:rPr>
          <w:i/>
          <w:vertAlign w:val="subscript"/>
        </w:rPr>
        <w:t xml:space="preserve">ref </w:t>
      </w:r>
      <w:r w:rsidRPr="00A95E01">
        <w:t xml:space="preserve">= 0.0033 g/kg, and </w:t>
      </w:r>
      <w:r w:rsidRPr="00A95E01">
        <w:rPr>
          <w:i/>
        </w:rPr>
        <w:t>u</w:t>
      </w:r>
      <w:r w:rsidRPr="00A95E01">
        <w:rPr>
          <w:i/>
          <w:vertAlign w:val="subscript"/>
        </w:rPr>
        <w:t xml:space="preserve">exp </w:t>
      </w:r>
      <w:r w:rsidRPr="00A95E01">
        <w:t xml:space="preserve">= 0.0023 g/kg). If </w:t>
      </w:r>
      <w:r w:rsidRPr="00A95E01">
        <w:rPr>
          <w:i/>
        </w:rPr>
        <w:t>E</w:t>
      </w:r>
      <w:r w:rsidRPr="00A95E01">
        <w:rPr>
          <w:i/>
          <w:vertAlign w:val="subscript"/>
        </w:rPr>
        <w:t>n</w:t>
      </w:r>
      <w:r w:rsidRPr="00A95E01">
        <w:t xml:space="preserve"> is lower than 2 in absolute value, the bias is considered non-significant.</w:t>
      </w:r>
    </w:p>
    <w:p w:rsidR="00AB073E" w:rsidRPr="00A95E01" w:rsidRDefault="00257004" w:rsidP="001934C9">
      <w:pPr>
        <w:spacing w:line="360" w:lineRule="auto"/>
        <w:jc w:val="center"/>
      </w:pPr>
      <m:oMath>
        <m:sSub>
          <m:sSubPr>
            <m:ctrlPr>
              <w:rPr>
                <w:rFonts w:ascii="Cambria Math" w:hAnsi="Cambria Math"/>
                <w:i/>
              </w:rPr>
            </m:ctrlPr>
          </m:sSubPr>
          <m:e>
            <m:r>
              <w:rPr>
                <w:rFonts w:ascii="Cambria Math" w:hAnsi="Cambria Math"/>
              </w:rPr>
              <m:t>E</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r>
                      <w:rPr>
                        <w:rFonts w:ascii="Cambria Math" w:hAnsi="Cambria Math"/>
                      </w:rPr>
                      <m:t>Pu</m:t>
                    </m:r>
                  </m:e>
                </m:d>
              </m:e>
              <m:sub>
                <m:r>
                  <w:rPr>
                    <w:rFonts w:ascii="Cambria Math" w:hAnsi="Cambria Math"/>
                  </w:rPr>
                  <m:t>mean</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Pu</m:t>
                    </m:r>
                  </m:e>
                </m:d>
              </m:e>
              <m:sub>
                <m:r>
                  <w:rPr>
                    <w:rFonts w:ascii="Cambria Math" w:hAnsi="Cambria Math"/>
                  </w:rPr>
                  <m:t>ref</m:t>
                </m:r>
              </m:sub>
            </m:sSub>
          </m:num>
          <m:den>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u</m:t>
                    </m:r>
                  </m:e>
                  <m:sub>
                    <m:r>
                      <w:rPr>
                        <w:rFonts w:ascii="Cambria Math" w:hAnsi="Cambria Math"/>
                      </w:rPr>
                      <m:t>exp</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ref</m:t>
                    </m:r>
                  </m:sub>
                  <m:sup>
                    <m:r>
                      <w:rPr>
                        <w:rFonts w:ascii="Cambria Math" w:hAnsi="Cambria Math"/>
                      </w:rPr>
                      <m:t>2</m:t>
                    </m:r>
                  </m:sup>
                </m:sSubSup>
              </m:e>
            </m:rad>
          </m:den>
        </m:f>
      </m:oMath>
      <w:r w:rsidR="00AB073E" w:rsidRPr="00A95E01">
        <w:tab/>
      </w:r>
      <w:r w:rsidR="00AB073E" w:rsidRPr="00A95E01">
        <w:tab/>
      </w:r>
      <w:r w:rsidR="00AB073E" w:rsidRPr="00A95E01">
        <w:tab/>
        <w:t>(18)</w:t>
      </w:r>
    </w:p>
    <w:p w:rsidR="00AB073E" w:rsidRPr="00A95E01" w:rsidRDefault="00AB073E" w:rsidP="001934C9">
      <w:pPr>
        <w:spacing w:line="360" w:lineRule="auto"/>
        <w:jc w:val="both"/>
      </w:pPr>
      <w:r w:rsidRPr="00A95E01">
        <w:t>In our case, this calculation gives:</w:t>
      </w:r>
    </w:p>
    <w:p w:rsidR="00AB073E" w:rsidRPr="00A95E01" w:rsidRDefault="00257004" w:rsidP="001934C9">
      <w:pPr>
        <w:spacing w:line="360" w:lineRule="auto"/>
        <w:jc w:val="both"/>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n</m:t>
                  </m:r>
                </m:sub>
              </m:sSub>
            </m:e>
          </m:d>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5.5307-5.5326</m:t>
                  </m:r>
                </m:e>
              </m:d>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0.0023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0.0033</m:t>
                      </m:r>
                    </m:e>
                    <m:sup>
                      <m:r>
                        <w:rPr>
                          <w:rFonts w:ascii="Cambria Math" w:hAnsi="Cambria Math"/>
                        </w:rPr>
                        <m:t>2</m:t>
                      </m:r>
                    </m:sup>
                  </m:sSup>
                </m:e>
              </m:rad>
            </m:den>
          </m:f>
          <m:r>
            <w:rPr>
              <w:rFonts w:ascii="Cambria Math" w:hAnsi="Cambria Math"/>
            </w:rPr>
            <m:t>=0.5&lt;2</m:t>
          </m:r>
        </m:oMath>
      </m:oMathPara>
    </w:p>
    <w:p w:rsidR="00AB073E" w:rsidRPr="00A95E01" w:rsidRDefault="00AB073E" w:rsidP="001934C9">
      <w:pPr>
        <w:spacing w:line="360" w:lineRule="auto"/>
        <w:jc w:val="both"/>
      </w:pPr>
      <w:r w:rsidRPr="00A95E01">
        <w:t>As such, no bias is observed for the result corresponding to the mean of 5 replicates. The CPC method can thus be considered a true method for the determination of Pu mass fraction.</w:t>
      </w:r>
    </w:p>
    <w:p w:rsidR="00AB073E" w:rsidRPr="00A95E01" w:rsidRDefault="00AB073E" w:rsidP="000D7B2E">
      <w:pPr>
        <w:pStyle w:val="JRNCBody"/>
        <w:rPr>
          <w:lang w:val="en-US"/>
        </w:rPr>
      </w:pPr>
      <w:r w:rsidRPr="00A95E01">
        <w:rPr>
          <w:sz w:val="28"/>
          <w:szCs w:val="24"/>
          <w:lang w:val="en-US"/>
        </w:rPr>
        <w:t>Final expression of the result</w:t>
      </w:r>
    </w:p>
    <w:p w:rsidR="00AB073E" w:rsidRPr="00A95E01" w:rsidRDefault="00AB073E" w:rsidP="00B076C2">
      <w:pPr>
        <w:spacing w:line="360" w:lineRule="auto"/>
        <w:jc w:val="both"/>
      </w:pPr>
      <w:r w:rsidRPr="00A95E01">
        <w:t>The results for the determinations of Pu mass fraction in the experiments LF04 – LF08 with their expanded uncertainties are shown in Fig</w:t>
      </w:r>
      <w:r w:rsidR="00B076C2" w:rsidRPr="00A95E01">
        <w:t>.</w:t>
      </w:r>
      <w:r w:rsidRPr="00A95E01">
        <w:t xml:space="preserve"> </w:t>
      </w:r>
      <w:r w:rsidR="00B076C2" w:rsidRPr="00A95E01">
        <w:t>6</w:t>
      </w:r>
      <w:r w:rsidRPr="00A95E01">
        <w:t xml:space="preserve"> in relation to the known reference value (and its uncertainty).</w:t>
      </w:r>
    </w:p>
    <w:p w:rsidR="00AB073E" w:rsidRPr="00A95E01" w:rsidRDefault="00AB073E" w:rsidP="00B076C2">
      <w:pPr>
        <w:spacing w:line="360" w:lineRule="auto"/>
        <w:jc w:val="both"/>
      </w:pPr>
    </w:p>
    <w:p w:rsidR="00AB073E" w:rsidRPr="00A95E01" w:rsidRDefault="00AB073E" w:rsidP="00B076C2">
      <w:pPr>
        <w:spacing w:line="360" w:lineRule="auto"/>
        <w:jc w:val="center"/>
      </w:pPr>
      <w:r w:rsidRPr="00A95E01">
        <w:rPr>
          <w:noProof/>
          <w:lang w:val="fr-FR" w:eastAsia="fr-FR"/>
        </w:rPr>
        <w:lastRenderedPageBreak/>
        <w:drawing>
          <wp:inline distT="0" distB="0" distL="0" distR="0" wp14:anchorId="4A294563" wp14:editId="2C57CDFE">
            <wp:extent cx="5239481" cy="247684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39481" cy="2476846"/>
                    </a:xfrm>
                    <a:prstGeom prst="rect">
                      <a:avLst/>
                    </a:prstGeom>
                  </pic:spPr>
                </pic:pic>
              </a:graphicData>
            </a:graphic>
          </wp:inline>
        </w:drawing>
      </w:r>
    </w:p>
    <w:p w:rsidR="00AB073E" w:rsidRPr="00A95E01" w:rsidRDefault="00B076C2" w:rsidP="00B076C2">
      <w:pPr>
        <w:spacing w:line="360" w:lineRule="auto"/>
        <w:jc w:val="center"/>
      </w:pPr>
      <w:r w:rsidRPr="00A95E01">
        <w:rPr>
          <w:b/>
        </w:rPr>
        <w:t>Fig.</w:t>
      </w:r>
      <w:r w:rsidR="00AB073E" w:rsidRPr="00A95E01">
        <w:rPr>
          <w:b/>
        </w:rPr>
        <w:t xml:space="preserve"> </w:t>
      </w:r>
      <w:r w:rsidRPr="00A95E01">
        <w:rPr>
          <w:b/>
        </w:rPr>
        <w:t>6</w:t>
      </w:r>
      <w:r w:rsidR="00AB073E" w:rsidRPr="00A95E01">
        <w:t xml:space="preserve"> Plot of the results of the CPC tritrations of the EQRAIN Pu 14 solution in terms of deviation from the reference value (solid line). The confidence intervals of the reference value (band), and the individual measurements (dashes) are also plotted (k=2)</w:t>
      </w:r>
    </w:p>
    <w:p w:rsidR="00AB073E" w:rsidRPr="00A95E01" w:rsidRDefault="00AB073E" w:rsidP="00B076C2">
      <w:pPr>
        <w:spacing w:line="360" w:lineRule="auto"/>
        <w:jc w:val="both"/>
      </w:pPr>
      <w:r w:rsidRPr="00A95E01">
        <w:t>It can be seen from Fig</w:t>
      </w:r>
      <w:r w:rsidR="00B076C2" w:rsidRPr="00A95E01">
        <w:t>.</w:t>
      </w:r>
      <w:r w:rsidRPr="00A95E01">
        <w:t xml:space="preserve"> </w:t>
      </w:r>
      <w:r w:rsidR="00B076C2" w:rsidRPr="00A95E01">
        <w:t>6</w:t>
      </w:r>
      <w:r w:rsidRPr="00A95E01">
        <w:t xml:space="preserve"> that the results lie within the confidence interval of the reference and on both sides of the reference line, thus demonstrating no significant bias. Furthermore, the uncertainty of the measurements is of the same order of magnitude to that of the reference, indicating that the coulometric method is a suitable technique for the verification of reference values during the certification process of RM.</w:t>
      </w:r>
    </w:p>
    <w:p w:rsidR="00AB073E" w:rsidRPr="00A95E01" w:rsidRDefault="00AB073E" w:rsidP="00B076C2">
      <w:pPr>
        <w:spacing w:line="360" w:lineRule="auto"/>
        <w:jc w:val="both"/>
      </w:pPr>
      <w:r w:rsidRPr="00A95E01">
        <w:t xml:space="preserve">From these studies, the final expression of the analysis results is taken as the arithmetic mean of the 5 measurements combined with the expanded uncertainty, equivalent to the uncertainty calculated by MCM (in a conservative approach, it was chosen not to divide by the square root of 5 </w:t>
      </w:r>
      <m:oMath>
        <m:r>
          <w:rPr>
            <w:rStyle w:val="Appelnotedebasdep"/>
            <w:i/>
          </w:rPr>
          <w:footnoteReference w:id="1"/>
        </m:r>
      </m:oMath>
      <w:r w:rsidRPr="00A95E01">
        <w:t>).</w:t>
      </w:r>
    </w:p>
    <w:p w:rsidR="00AB073E" w:rsidRPr="00A95E01" w:rsidRDefault="00257004" w:rsidP="00B076C2">
      <w:pPr>
        <w:spacing w:line="360" w:lineRule="auto"/>
        <w:jc w:val="center"/>
      </w:pPr>
      <m:oMath>
        <m:d>
          <m:dPr>
            <m:begChr m:val="["/>
            <m:endChr m:val="]"/>
            <m:ctrlPr>
              <w:rPr>
                <w:rFonts w:ascii="Cambria Math" w:hAnsi="Cambria Math"/>
                <w:i/>
              </w:rPr>
            </m:ctrlPr>
          </m:dPr>
          <m:e>
            <m:r>
              <w:rPr>
                <w:rFonts w:ascii="Cambria Math" w:hAnsi="Cambria Math"/>
              </w:rPr>
              <m:t>Pu</m:t>
            </m:r>
          </m:e>
        </m:d>
        <m:r>
          <w:rPr>
            <w:rFonts w:ascii="Cambria Math" w:hAnsi="Cambria Math"/>
          </w:rPr>
          <m:t>=</m:t>
        </m:r>
        <m:d>
          <m:dPr>
            <m:ctrlPr>
              <w:rPr>
                <w:rFonts w:ascii="Cambria Math" w:hAnsi="Cambria Math"/>
                <w:i/>
              </w:rPr>
            </m:ctrlPr>
          </m:dPr>
          <m:e>
            <m:r>
              <w:rPr>
                <w:rFonts w:ascii="Cambria Math" w:hAnsi="Cambria Math"/>
              </w:rPr>
              <m:t>5.5307 ±0.0045</m:t>
            </m:r>
          </m:e>
        </m:d>
        <m:r>
          <w:rPr>
            <w:rFonts w:ascii="Cambria Math" w:hAnsi="Cambria Math"/>
          </w:rPr>
          <m:t>g/kg</m:t>
        </m:r>
      </m:oMath>
      <w:r w:rsidR="00B076C2" w:rsidRPr="00A95E01">
        <w:tab/>
      </w:r>
      <w:r w:rsidR="00B076C2" w:rsidRPr="00A95E01">
        <w:tab/>
      </w:r>
      <w:r w:rsidR="00AB073E" w:rsidRPr="00A95E01">
        <w:t>(k=2)</w:t>
      </w:r>
    </w:p>
    <w:p w:rsidR="00AB073E" w:rsidRPr="00A95E01" w:rsidRDefault="00AB073E" w:rsidP="00B076C2">
      <w:pPr>
        <w:pStyle w:val="JRNCBody"/>
        <w:rPr>
          <w:lang w:val="en-US"/>
        </w:rPr>
      </w:pPr>
      <w:r w:rsidRPr="00A95E01">
        <w:rPr>
          <w:sz w:val="28"/>
          <w:szCs w:val="24"/>
          <w:lang w:val="en-US"/>
        </w:rPr>
        <w:t>Coulometry performance evaluation at the LAMMAN and comparison to ITVs</w:t>
      </w:r>
    </w:p>
    <w:p w:rsidR="00AB073E" w:rsidRPr="00A95E01" w:rsidRDefault="00AB073E" w:rsidP="00B076C2">
      <w:pPr>
        <w:spacing w:line="360" w:lineRule="auto"/>
        <w:jc w:val="both"/>
      </w:pPr>
      <w:r w:rsidRPr="00A95E01">
        <w:t xml:space="preserve">As was reported in Table 10, the relative uncertainty from MCM estimations for the CPC titration method performed at the LAMMAN on pure nitrate solutions was calculated to be </w:t>
      </w:r>
      <w:r w:rsidRPr="00A95E01">
        <w:lastRenderedPageBreak/>
        <w:t xml:space="preserve">0.082% (k=2). This uncertainty can be compared to the data taken from the IAEA’s ITVs 2010 </w:t>
      </w:r>
      <w:r w:rsidR="00B076C2" w:rsidRPr="00A95E01">
        <w:t>[1]</w:t>
      </w:r>
      <w:r w:rsidRPr="00A95E01">
        <w:t xml:space="preserve"> wherein the ITV = 0.14%. The LAMMAN’s performance in the field of coulometry applied to the metrology of Pu is lower than the corresponding ITV because measurements are done in pure nitrate solutions in ideal laboratory conditions but are nevertheless consistent with the international expectations established by the ITVs 2010. This result confirms the role of such a technique for the highly accurate determination of Pu amounts, which is needed in the case of certification of RMs.</w:t>
      </w:r>
    </w:p>
    <w:p w:rsidR="00AB073E" w:rsidRPr="00A95E01" w:rsidRDefault="00AB073E" w:rsidP="00B076C2">
      <w:pPr>
        <w:pStyle w:val="JRNCPrimarySectionTitle"/>
        <w:spacing w:line="360" w:lineRule="auto"/>
      </w:pPr>
      <w:r w:rsidRPr="00A95E01">
        <w:rPr>
          <w:lang w:val="en-GB"/>
        </w:rPr>
        <w:t>Conclusion</w:t>
      </w:r>
    </w:p>
    <w:p w:rsidR="00AB073E" w:rsidRPr="00A95E01" w:rsidRDefault="00AB073E" w:rsidP="00B076C2">
      <w:pPr>
        <w:spacing w:line="360" w:lineRule="auto"/>
        <w:jc w:val="both"/>
      </w:pPr>
      <w:r w:rsidRPr="00A95E01">
        <w:t xml:space="preserve">The present study details the state of art in the practice of highly accurate CPC at the CETAMA’s LAMMAN. It provides information about the way in which CPC experiments are performed as well as how the uncertainty of analytical measurements is estimated. Two methodologies were applied and compared: the classical GUM approach and the Monte Carlo Method. The two approaches gave comparable values. However, the MCM calculations were found to give a finer estimation of the distribution of probability of nonlinear expressions such as the concentration of Pu and the fraction of material electrolyzed without requiring the application of simplifying assumptions. </w:t>
      </w:r>
    </w:p>
    <w:p w:rsidR="00AB073E" w:rsidRPr="00A95E01" w:rsidRDefault="00AB073E" w:rsidP="00B076C2">
      <w:pPr>
        <w:spacing w:line="360" w:lineRule="auto"/>
        <w:jc w:val="both"/>
      </w:pPr>
      <w:r w:rsidRPr="00A95E01">
        <w:t>Considering the promising results, the MCM method will be adopted in the future for our protocol on the evaluation of uncertainty measurements for coulometric measurements. This is also possible due to the availability of commercial software powerful enough to perform the taxing calculations required by the MCM simulations.</w:t>
      </w:r>
    </w:p>
    <w:p w:rsidR="00AB073E" w:rsidRPr="00A95E01" w:rsidRDefault="00AB073E" w:rsidP="00B076C2">
      <w:pPr>
        <w:spacing w:line="360" w:lineRule="auto"/>
        <w:jc w:val="both"/>
      </w:pPr>
      <w:r w:rsidRPr="00A95E01">
        <w:t xml:space="preserve">Finally, it is important to note that the performances reached by the LAMMAN for the coulometric analysis of pure nitrate solutions are consistent with the IAEA International Target Values. These results confirm the importance of the analytical technique for the production of certified RMs. </w:t>
      </w:r>
    </w:p>
    <w:p w:rsidR="00AB073E" w:rsidRPr="00A95E01" w:rsidRDefault="00AB073E" w:rsidP="00B076C2">
      <w:pPr>
        <w:spacing w:line="360" w:lineRule="auto"/>
        <w:jc w:val="both"/>
      </w:pPr>
      <w:r w:rsidRPr="00A95E01">
        <w:t>As the CETAMA is now in capacity of producing certified RMs of mixed uranium/plutonium pure nitrate solutions (named EQRAIN(U+Pu) ), future research on the technique will focus the applicability of CPC and its implementation for the determination of Pu in presence of large amounts of uranium.</w:t>
      </w:r>
    </w:p>
    <w:p w:rsidR="00AB073E" w:rsidRPr="00A95E01" w:rsidRDefault="00AB073E" w:rsidP="000D7B2E">
      <w:pPr>
        <w:pStyle w:val="JRNCPrimarySectionTitle"/>
      </w:pPr>
      <w:r w:rsidRPr="00A95E01">
        <w:lastRenderedPageBreak/>
        <w:t>References</w:t>
      </w:r>
    </w:p>
    <w:p w:rsidR="00056B41" w:rsidRPr="00AF290D" w:rsidRDefault="00056B41" w:rsidP="00056B41">
      <w:pPr>
        <w:pStyle w:val="Bibliographie"/>
      </w:pPr>
      <w:r w:rsidRPr="00056B41">
        <w:rPr>
          <w:sz w:val="20"/>
        </w:rPr>
        <w:t xml:space="preserve">1. </w:t>
      </w:r>
      <w:r w:rsidRPr="00056B41">
        <w:rPr>
          <w:sz w:val="20"/>
        </w:rPr>
        <w:tab/>
      </w:r>
      <w:r w:rsidRPr="00AF290D">
        <w:t>Zhao K, Penkin M, Norman C, et al (2010) International Target Values 2010 for Measurement Uncertainties in Safeguarding Nuclear Materials - report number IAEA-STR-368. IAEA, International Atomic Energy Agency (IAEA), Vienna (Austria)</w:t>
      </w:r>
    </w:p>
    <w:p w:rsidR="00056B41" w:rsidRPr="00AF290D" w:rsidRDefault="00056B41" w:rsidP="00056B41">
      <w:pPr>
        <w:pStyle w:val="Bibliographie"/>
      </w:pPr>
      <w:r w:rsidRPr="00AF290D">
        <w:t xml:space="preserve">2. </w:t>
      </w:r>
      <w:r w:rsidRPr="00AF290D">
        <w:tab/>
        <w:t>Macdonald A, Savage DJ (1979) Plutonium accountancy in reprocessing plants by ceric oxidation, ferrous reduction and dichromate titration. - report number IAEA-AM-231/52. IAEA</w:t>
      </w:r>
    </w:p>
    <w:p w:rsidR="00056B41" w:rsidRPr="00AF290D" w:rsidRDefault="00056B41" w:rsidP="00056B41">
      <w:pPr>
        <w:pStyle w:val="Bibliographie"/>
      </w:pPr>
      <w:r w:rsidRPr="00AF290D">
        <w:t xml:space="preserve">3. </w:t>
      </w:r>
      <w:r w:rsidRPr="00AF290D">
        <w:tab/>
        <w:t>Ruas A, Leguay N, Sueur R, et al (2014) High accuracy plutonium mass determination by controlled-potential coulometry. Radiochim Acta 102:691–699. https://doi.org/10.1515/ract-2013-2213</w:t>
      </w:r>
    </w:p>
    <w:p w:rsidR="00056B41" w:rsidRPr="00AF290D" w:rsidRDefault="00056B41" w:rsidP="00056B41">
      <w:pPr>
        <w:pStyle w:val="Bibliographie"/>
      </w:pPr>
      <w:r w:rsidRPr="00AF290D">
        <w:t xml:space="preserve">4. </w:t>
      </w:r>
      <w:r w:rsidRPr="00AF290D">
        <w:tab/>
        <w:t>Momotov VN, Erin EA (2017) Coulometric methods for uranium and plutonium determination. Radiochemistry 59:1–25. https://doi.org/10.1134/S1066362217010015</w:t>
      </w:r>
    </w:p>
    <w:p w:rsidR="00056B41" w:rsidRPr="00AF290D" w:rsidRDefault="00056B41" w:rsidP="00056B41">
      <w:pPr>
        <w:pStyle w:val="Bibliographie"/>
      </w:pPr>
      <w:r w:rsidRPr="00AF290D">
        <w:t xml:space="preserve">5. </w:t>
      </w:r>
      <w:r w:rsidRPr="00AF290D">
        <w:tab/>
        <w:t>Nuclear fuel technology - Controlled-potential coulometric assay of plutonium , ISO 12183:2018</w:t>
      </w:r>
    </w:p>
    <w:p w:rsidR="00056B41" w:rsidRPr="00AF290D" w:rsidRDefault="00056B41" w:rsidP="00056B41">
      <w:pPr>
        <w:pStyle w:val="Bibliographie"/>
      </w:pPr>
      <w:r w:rsidRPr="00AF290D">
        <w:t xml:space="preserve">6. </w:t>
      </w:r>
      <w:r w:rsidRPr="00AF290D">
        <w:tab/>
        <w:t>Clark DL (2019) Plutonium handbook, 2nd edition. American Nuclear Society, La Grange Park, Illinois, USA</w:t>
      </w:r>
    </w:p>
    <w:p w:rsidR="00056B41" w:rsidRPr="00AF290D" w:rsidRDefault="00056B41" w:rsidP="00056B41">
      <w:pPr>
        <w:pStyle w:val="Bibliographie"/>
      </w:pPr>
      <w:r w:rsidRPr="00AF290D">
        <w:t xml:space="preserve">7. </w:t>
      </w:r>
      <w:r w:rsidRPr="00AF290D">
        <w:tab/>
        <w:t>Harrar JE (1987) Analytical controlled-potential coulometry. TrAC Trends Anal Chem 6:152–157. https://doi.org/10.1016/0165-9936(87)80010-9</w:t>
      </w:r>
    </w:p>
    <w:p w:rsidR="00056B41" w:rsidRPr="00AF290D" w:rsidRDefault="00056B41" w:rsidP="00056B41">
      <w:pPr>
        <w:pStyle w:val="Bibliographie"/>
      </w:pPr>
      <w:r w:rsidRPr="00AF290D">
        <w:t xml:space="preserve">8. </w:t>
      </w:r>
      <w:r w:rsidRPr="00AF290D">
        <w:tab/>
        <w:t>Holland MK, Weiss JR, Pietri CE (1981) A reference method for the determination of Plutonium using controlled potential coulometry. Proc 3rd ESARDA Symp Safeguards Nucl Mater Manag Karlsr Ger</w:t>
      </w:r>
    </w:p>
    <w:p w:rsidR="00056B41" w:rsidRPr="00AF290D" w:rsidRDefault="00056B41" w:rsidP="00056B41">
      <w:pPr>
        <w:pStyle w:val="Bibliographie"/>
      </w:pPr>
      <w:r w:rsidRPr="00AF290D">
        <w:t xml:space="preserve">9. </w:t>
      </w:r>
      <w:r w:rsidRPr="00AF290D">
        <w:tab/>
        <w:t xml:space="preserve">Newell DB, Cabiati F, Fischer J, et al (2018) The CODATA 2017 values of </w:t>
      </w:r>
      <w:r w:rsidRPr="00AF290D">
        <w:rPr>
          <w:i/>
          <w:iCs/>
        </w:rPr>
        <w:t>h</w:t>
      </w:r>
      <w:r w:rsidRPr="00AF290D">
        <w:t xml:space="preserve"> , </w:t>
      </w:r>
      <w:r w:rsidRPr="00AF290D">
        <w:rPr>
          <w:i/>
          <w:iCs/>
        </w:rPr>
        <w:t>e</w:t>
      </w:r>
      <w:r w:rsidRPr="00AF290D">
        <w:t xml:space="preserve"> , </w:t>
      </w:r>
      <w:r w:rsidRPr="00AF290D">
        <w:rPr>
          <w:i/>
          <w:iCs/>
        </w:rPr>
        <w:t>k</w:t>
      </w:r>
      <w:r w:rsidRPr="00AF290D">
        <w:t xml:space="preserve"> , and </w:t>
      </w:r>
      <w:r w:rsidRPr="00AF290D">
        <w:rPr>
          <w:i/>
          <w:iCs/>
        </w:rPr>
        <w:t>N</w:t>
      </w:r>
      <w:r w:rsidRPr="00AF290D">
        <w:t xml:space="preserve"> </w:t>
      </w:r>
      <w:r w:rsidRPr="00AF290D">
        <w:rPr>
          <w:vertAlign w:val="subscript"/>
        </w:rPr>
        <w:t>A</w:t>
      </w:r>
      <w:r w:rsidRPr="00AF290D">
        <w:t xml:space="preserve"> for the revision of the SI. Metrologia 55:L13–L16. https://doi.org/10.1088/1681-7575/aa950a</w:t>
      </w:r>
    </w:p>
    <w:p w:rsidR="00056B41" w:rsidRPr="00AF290D" w:rsidRDefault="00056B41" w:rsidP="00056B41">
      <w:pPr>
        <w:pStyle w:val="Bibliographie"/>
      </w:pPr>
      <w:r w:rsidRPr="00AF290D">
        <w:t xml:space="preserve">10. </w:t>
      </w:r>
      <w:r w:rsidRPr="00AF290D">
        <w:tab/>
        <w:t>(2008) Evaluation of measurement data – Guide to the expression of uncertainty in measurement (GUM), report number JCGM 100:2008. Joint committee for guides in metrology</w:t>
      </w:r>
    </w:p>
    <w:p w:rsidR="00056B41" w:rsidRPr="00AF290D" w:rsidRDefault="00056B41" w:rsidP="00056B41">
      <w:pPr>
        <w:pStyle w:val="Bibliographie"/>
      </w:pPr>
      <w:r w:rsidRPr="00AF290D">
        <w:t xml:space="preserve">11. </w:t>
      </w:r>
      <w:r w:rsidRPr="00AF290D">
        <w:tab/>
        <w:t>(2008) Evaluation of measurement data – Supplement 1 to the “Guide to the expression of uncertainty in measurement” - Propagation of distributions using a Monte Carlo method, report number JCGM 101. Joint committee for guides in metrology</w:t>
      </w:r>
    </w:p>
    <w:p w:rsidR="00056B41" w:rsidRPr="00AF290D" w:rsidRDefault="00056B41" w:rsidP="00056B41">
      <w:pPr>
        <w:pStyle w:val="Bibliographie"/>
      </w:pPr>
      <w:r w:rsidRPr="00AF290D">
        <w:t xml:space="preserve">12. </w:t>
      </w:r>
      <w:r w:rsidRPr="00AF290D">
        <w:tab/>
        <w:t xml:space="preserve">Borges PP, da Silva WB (2014) Metrological evaluation of the certification of primary reference materials characterized by high-precision constant-current </w:t>
      </w:r>
      <w:r w:rsidRPr="00AF290D">
        <w:lastRenderedPageBreak/>
        <w:t>coulometry for the reliability of the titration analyses. J Appl Electrochem 44:1411–1420. https://doi.org/10.1007/s10800-014-0768-x</w:t>
      </w:r>
    </w:p>
    <w:p w:rsidR="00056B41" w:rsidRPr="00AF290D" w:rsidRDefault="00056B41" w:rsidP="00056B41">
      <w:pPr>
        <w:pStyle w:val="Bibliographie"/>
      </w:pPr>
      <w:r w:rsidRPr="00AF290D">
        <w:t xml:space="preserve">13. </w:t>
      </w:r>
      <w:r w:rsidRPr="00AF290D">
        <w:tab/>
        <w:t>(1999) Standard test method for plutonium by controlled-potential coulometry,  ASTMC 1108-99. ASTM International, West Conshohocken,PA.</w:t>
      </w:r>
    </w:p>
    <w:p w:rsidR="00056B41" w:rsidRPr="00AF290D" w:rsidRDefault="00056B41" w:rsidP="00056B41">
      <w:pPr>
        <w:pStyle w:val="Bibliographie"/>
      </w:pPr>
      <w:r w:rsidRPr="00AF290D">
        <w:t xml:space="preserve">14. </w:t>
      </w:r>
      <w:r w:rsidRPr="00AF290D">
        <w:tab/>
        <w:t>Holland MK, Cordaro JV (2009) Mass measurement uncertainty for plutonium aliquots assayed by controlled-potential coulometry. J Radioanal Nucl Chem 282:555–563. https://doi.org/10.1007/s10967-009-0173-9</w:t>
      </w:r>
    </w:p>
    <w:p w:rsidR="00056B41" w:rsidRPr="00AF290D" w:rsidRDefault="00056B41" w:rsidP="00056B41">
      <w:pPr>
        <w:pStyle w:val="Bibliographie"/>
      </w:pPr>
      <w:r w:rsidRPr="00AF290D">
        <w:t xml:space="preserve">15. </w:t>
      </w:r>
      <w:r w:rsidRPr="00AF290D">
        <w:tab/>
        <w:t xml:space="preserve">Milyukova MS, Gusev NI, Sentyurin IS (1967) Analytical Chemistry of Plutonium. </w:t>
      </w:r>
      <w:r w:rsidR="0088460C">
        <w:t>Wiener Bindery Ltd</w:t>
      </w:r>
      <w:r w:rsidRPr="00AF290D">
        <w:t>, Jerusalem</w:t>
      </w:r>
    </w:p>
    <w:p w:rsidR="00056B41" w:rsidRPr="00AF290D" w:rsidRDefault="00056B41" w:rsidP="00056B41">
      <w:pPr>
        <w:pStyle w:val="Bibliographie"/>
      </w:pPr>
      <w:r w:rsidRPr="00AF290D">
        <w:t xml:space="preserve">16. </w:t>
      </w:r>
      <w:r w:rsidRPr="00AF290D">
        <w:tab/>
        <w:t>Shults W (1963) Applications of controlled-potential coulometry to the determination of plutonium. Talanta 10:833–849. https://doi.org/10.1016/0039-9140(63)80244-1</w:t>
      </w:r>
    </w:p>
    <w:p w:rsidR="00056B41" w:rsidRPr="00AF290D" w:rsidRDefault="00056B41" w:rsidP="00056B41">
      <w:pPr>
        <w:pStyle w:val="Bibliographie"/>
      </w:pPr>
      <w:r w:rsidRPr="00AF290D">
        <w:t xml:space="preserve">17. </w:t>
      </w:r>
      <w:r w:rsidRPr="00AF290D">
        <w:tab/>
        <w:t>Holland MK, Weiss JR, Pietri CE (1978) Controlled-potential coulometric determination of plutonium. Anal Chem 50:236–240. https://doi.org/10.1021/ac50024a018</w:t>
      </w:r>
    </w:p>
    <w:p w:rsidR="00056B41" w:rsidRPr="00AF290D" w:rsidRDefault="00056B41" w:rsidP="00056B41">
      <w:pPr>
        <w:pStyle w:val="Bibliographie"/>
      </w:pPr>
      <w:r w:rsidRPr="00AF290D">
        <w:t xml:space="preserve">18. </w:t>
      </w:r>
      <w:r w:rsidRPr="00AF290D">
        <w:tab/>
        <w:t>Georgette S, Picart S, Bouyer C, et al (2014) Study of the plutonium (IV) electrochemical behavior in nitric acid at a platinum electrode. Application to the cathodic reduction of Pu(IV) in a plate electrolyzer. J Electroanal Chem 727:163–170. https://doi.org/10.1016/j.jelechem.2014.06.015</w:t>
      </w:r>
    </w:p>
    <w:p w:rsidR="00056B41" w:rsidRPr="00AF290D" w:rsidRDefault="00056B41" w:rsidP="00056B41">
      <w:pPr>
        <w:pStyle w:val="Bibliographie"/>
      </w:pPr>
      <w:r w:rsidRPr="00AF290D">
        <w:t xml:space="preserve">19. </w:t>
      </w:r>
      <w:r w:rsidRPr="00AF290D">
        <w:tab/>
        <w:t>Fallet A, Larabi-Gruet N, Jakab-Costenoble S, Moisy P (2016) Electrochemical behavior of plutonium in nitric acid media. J Radioanal Nucl Chem 308:587–598. https://doi.org/10.1007/s10967-015-4423-8</w:t>
      </w:r>
    </w:p>
    <w:p w:rsidR="00056B41" w:rsidRPr="00AF290D" w:rsidRDefault="00056B41" w:rsidP="00056B41">
      <w:pPr>
        <w:pStyle w:val="Bibliographie"/>
      </w:pPr>
      <w:r w:rsidRPr="00AF290D">
        <w:t xml:space="preserve">20. </w:t>
      </w:r>
      <w:r w:rsidRPr="00AF290D">
        <w:tab/>
        <w:t>Bard AJ, Faulkner LR (1980) Electrochemical methods: fundamentals and applications. Wiley, New York</w:t>
      </w:r>
    </w:p>
    <w:p w:rsidR="00056B41" w:rsidRPr="00AF290D" w:rsidRDefault="00056B41" w:rsidP="00056B41">
      <w:pPr>
        <w:pStyle w:val="Bibliographie"/>
      </w:pPr>
      <w:r w:rsidRPr="00AF290D">
        <w:t xml:space="preserve">21. </w:t>
      </w:r>
      <w:r w:rsidRPr="00AF290D">
        <w:tab/>
        <w:t>Audouin P (1981) Controlled potential coulometry: study of the method and its application, Report number CEA-R-5117. CEA</w:t>
      </w:r>
    </w:p>
    <w:p w:rsidR="00056B41" w:rsidRPr="00AF290D" w:rsidRDefault="00056B41" w:rsidP="00056B41">
      <w:pPr>
        <w:pStyle w:val="Bibliographie"/>
      </w:pPr>
      <w:r w:rsidRPr="00AF290D">
        <w:t xml:space="preserve">22. </w:t>
      </w:r>
      <w:r w:rsidRPr="00AF290D">
        <w:tab/>
        <w:t>Leguay N (2011) Plutonium titration by controlled potential coulometry, Report number CEA-R-6264. CEA</w:t>
      </w:r>
    </w:p>
    <w:p w:rsidR="00056B41" w:rsidRPr="00AF290D" w:rsidRDefault="00056B41" w:rsidP="00056B41">
      <w:pPr>
        <w:pStyle w:val="Bibliographie"/>
      </w:pPr>
      <w:r w:rsidRPr="00AF290D">
        <w:t xml:space="preserve">23. </w:t>
      </w:r>
      <w:r w:rsidRPr="00AF290D">
        <w:tab/>
        <w:t>Plutonium metal MP2, Reference Material Certificate. CETAMA</w:t>
      </w:r>
    </w:p>
    <w:p w:rsidR="00056B41" w:rsidRPr="00AF290D" w:rsidRDefault="00056B41" w:rsidP="00056B41">
      <w:pPr>
        <w:pStyle w:val="Bibliographie"/>
      </w:pPr>
      <w:r w:rsidRPr="00AF290D">
        <w:t xml:space="preserve">24. </w:t>
      </w:r>
      <w:r w:rsidRPr="00AF290D">
        <w:tab/>
        <w:t>Cox M, Harris P, Siebert BR-L (2003) Evaluation of Measurement Uncertainty Based on the Propagation of Distributions Using Monte Carlo Simulation. Meas Tech 46:824–833. https://doi.org/10.1023/B:METE.0000008439.82231.ad</w:t>
      </w:r>
    </w:p>
    <w:p w:rsidR="00B076C2" w:rsidRPr="00AF290D" w:rsidRDefault="00056B41" w:rsidP="00AF290D">
      <w:pPr>
        <w:pStyle w:val="Bibliographie"/>
      </w:pPr>
      <w:r w:rsidRPr="00AF290D">
        <w:t xml:space="preserve">25. </w:t>
      </w:r>
      <w:r w:rsidRPr="00AF290D">
        <w:tab/>
        <w:t>Cox MG, Siebert BRL (2006) The use of a Monte Carlo method for evaluating uncertainty and expanded uncertainty. Metrologia 43:S178–S188. https://doi.org/10.1088/0026-1394/43/4/S03</w:t>
      </w:r>
    </w:p>
    <w:sectPr w:rsidR="00B076C2" w:rsidRPr="00AF290D" w:rsidSect="0027128A">
      <w:headerReference w:type="default" r:id="rId16"/>
      <w:footerReference w:type="even" r:id="rId17"/>
      <w:footerReference w:type="default" r:id="rId18"/>
      <w:endnotePr>
        <w:numFmt w:val="decimal"/>
      </w:endnotePr>
      <w:pgSz w:w="12240" w:h="15840" w:code="1"/>
      <w:pgMar w:top="1440" w:right="1800" w:bottom="1440" w:left="180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004" w:rsidRDefault="00257004">
      <w:r>
        <w:separator/>
      </w:r>
    </w:p>
  </w:endnote>
  <w:endnote w:type="continuationSeparator" w:id="0">
    <w:p w:rsidR="00257004" w:rsidRDefault="0025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04" w:rsidRDefault="00257004" w:rsidP="00EF62C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35</w:t>
    </w:r>
    <w:r>
      <w:rPr>
        <w:rStyle w:val="Numrodepage"/>
      </w:rPr>
      <w:fldChar w:fldCharType="end"/>
    </w:r>
  </w:p>
  <w:p w:rsidR="00257004" w:rsidRDefault="002570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04" w:rsidRDefault="00257004" w:rsidP="00EF62C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B3A53">
      <w:rPr>
        <w:rStyle w:val="Numrodepage"/>
        <w:noProof/>
      </w:rPr>
      <w:t>3</w:t>
    </w:r>
    <w:r>
      <w:rPr>
        <w:rStyle w:val="Numrodepage"/>
      </w:rPr>
      <w:fldChar w:fldCharType="end"/>
    </w:r>
  </w:p>
  <w:p w:rsidR="00257004" w:rsidRDefault="002570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004" w:rsidRDefault="00257004">
      <w:r>
        <w:separator/>
      </w:r>
    </w:p>
  </w:footnote>
  <w:footnote w:type="continuationSeparator" w:id="0">
    <w:p w:rsidR="00257004" w:rsidRDefault="00257004">
      <w:r>
        <w:continuationSeparator/>
      </w:r>
    </w:p>
  </w:footnote>
  <w:footnote w:id="1">
    <w:p w:rsidR="00257004" w:rsidRPr="00B938CC" w:rsidRDefault="00257004" w:rsidP="00AB073E">
      <w:pPr>
        <w:pStyle w:val="Notedebasdepage"/>
      </w:pPr>
      <w:r w:rsidRPr="0020709F">
        <w:rPr>
          <w:rStyle w:val="Appelnotedebasdep"/>
        </w:rPr>
        <w:footnoteRef/>
      </w:r>
      <w:r w:rsidRPr="00B938CC">
        <w:t>The uncertainty</w:t>
      </w:r>
      <w:r>
        <w:t xml:space="preserve"> in this case</w:t>
      </w:r>
      <w:r w:rsidRPr="00B938CC">
        <w:t xml:space="preserve"> </w:t>
      </w:r>
      <w:r>
        <w:t xml:space="preserve">has </w:t>
      </w:r>
      <w:r w:rsidRPr="00B938CC">
        <w:t xml:space="preserve">not </w:t>
      </w:r>
      <w:r>
        <w:t xml:space="preserve">been </w:t>
      </w:r>
      <w:r w:rsidRPr="00B938CC">
        <w:t>divided by</w:t>
      </w:r>
      <w:r>
        <w:t xml:space="preserve"> the square root of the number of replicates because the replicates are based on the same calibration and are not strictly independent measurements: it is a conservative 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04" w:rsidRPr="00667A78" w:rsidRDefault="00257004">
    <w:pPr>
      <w:pStyle w:val="En-tte"/>
      <w:rPr>
        <w:i/>
      </w:rPr>
    </w:pPr>
    <w:r w:rsidRPr="00667A78">
      <w:rPr>
        <w:i/>
      </w:rPr>
      <w:t>Journal of Radioanalytical and Nuclear Chemistry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A57"/>
    <w:multiLevelType w:val="hybridMultilevel"/>
    <w:tmpl w:val="C3A63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3A7874"/>
    <w:multiLevelType w:val="hybridMultilevel"/>
    <w:tmpl w:val="9F0E718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C5B5C"/>
    <w:multiLevelType w:val="hybridMultilevel"/>
    <w:tmpl w:val="4676B0B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C74A5"/>
    <w:multiLevelType w:val="hybridMultilevel"/>
    <w:tmpl w:val="E3C0DD8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E10C5"/>
    <w:multiLevelType w:val="hybridMultilevel"/>
    <w:tmpl w:val="0D1AE03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90222"/>
    <w:multiLevelType w:val="multilevel"/>
    <w:tmpl w:val="A0B6E0D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8AA3DBC"/>
    <w:multiLevelType w:val="hybridMultilevel"/>
    <w:tmpl w:val="0BDC64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62FCD"/>
    <w:multiLevelType w:val="hybridMultilevel"/>
    <w:tmpl w:val="90C8C64A"/>
    <w:lvl w:ilvl="0" w:tplc="7FB2341A">
      <w:start w:val="1"/>
      <w:numFmt w:val="bullet"/>
      <w:pStyle w:val="JRNC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DD377D"/>
    <w:multiLevelType w:val="hybridMultilevel"/>
    <w:tmpl w:val="E0BAC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E4B7A"/>
    <w:multiLevelType w:val="hybridMultilevel"/>
    <w:tmpl w:val="78EEC078"/>
    <w:lvl w:ilvl="0" w:tplc="45D0C208">
      <w:start w:val="1"/>
      <w:numFmt w:val="bullet"/>
      <w:lvlText w:val="-"/>
      <w:lvlJc w:val="left"/>
      <w:pPr>
        <w:tabs>
          <w:tab w:val="num" w:pos="720"/>
        </w:tabs>
        <w:ind w:left="720" w:hanging="360"/>
      </w:pPr>
      <w:rPr>
        <w:rFonts w:ascii="Arial" w:hAnsi="Arial" w:hint="default"/>
      </w:rPr>
    </w:lvl>
    <w:lvl w:ilvl="1" w:tplc="58D428E4">
      <w:start w:val="1"/>
      <w:numFmt w:val="bullet"/>
      <w:lvlText w:val="-"/>
      <w:lvlJc w:val="left"/>
      <w:pPr>
        <w:tabs>
          <w:tab w:val="num" w:pos="1440"/>
        </w:tabs>
        <w:ind w:left="1440" w:hanging="360"/>
      </w:pPr>
      <w:rPr>
        <w:rFonts w:ascii="Arial" w:hAnsi="Arial" w:hint="default"/>
      </w:rPr>
    </w:lvl>
    <w:lvl w:ilvl="2" w:tplc="2F566FB6" w:tentative="1">
      <w:start w:val="1"/>
      <w:numFmt w:val="bullet"/>
      <w:lvlText w:val="-"/>
      <w:lvlJc w:val="left"/>
      <w:pPr>
        <w:tabs>
          <w:tab w:val="num" w:pos="2160"/>
        </w:tabs>
        <w:ind w:left="2160" w:hanging="360"/>
      </w:pPr>
      <w:rPr>
        <w:rFonts w:ascii="Arial" w:hAnsi="Arial" w:hint="default"/>
      </w:rPr>
    </w:lvl>
    <w:lvl w:ilvl="3" w:tplc="3CBC5608" w:tentative="1">
      <w:start w:val="1"/>
      <w:numFmt w:val="bullet"/>
      <w:lvlText w:val="-"/>
      <w:lvlJc w:val="left"/>
      <w:pPr>
        <w:tabs>
          <w:tab w:val="num" w:pos="2880"/>
        </w:tabs>
        <w:ind w:left="2880" w:hanging="360"/>
      </w:pPr>
      <w:rPr>
        <w:rFonts w:ascii="Arial" w:hAnsi="Arial" w:hint="default"/>
      </w:rPr>
    </w:lvl>
    <w:lvl w:ilvl="4" w:tplc="CAFA6B52" w:tentative="1">
      <w:start w:val="1"/>
      <w:numFmt w:val="bullet"/>
      <w:lvlText w:val="-"/>
      <w:lvlJc w:val="left"/>
      <w:pPr>
        <w:tabs>
          <w:tab w:val="num" w:pos="3600"/>
        </w:tabs>
        <w:ind w:left="3600" w:hanging="360"/>
      </w:pPr>
      <w:rPr>
        <w:rFonts w:ascii="Arial" w:hAnsi="Arial" w:hint="default"/>
      </w:rPr>
    </w:lvl>
    <w:lvl w:ilvl="5" w:tplc="8938CDD6" w:tentative="1">
      <w:start w:val="1"/>
      <w:numFmt w:val="bullet"/>
      <w:lvlText w:val="-"/>
      <w:lvlJc w:val="left"/>
      <w:pPr>
        <w:tabs>
          <w:tab w:val="num" w:pos="4320"/>
        </w:tabs>
        <w:ind w:left="4320" w:hanging="360"/>
      </w:pPr>
      <w:rPr>
        <w:rFonts w:ascii="Arial" w:hAnsi="Arial" w:hint="default"/>
      </w:rPr>
    </w:lvl>
    <w:lvl w:ilvl="6" w:tplc="08B8DBAE" w:tentative="1">
      <w:start w:val="1"/>
      <w:numFmt w:val="bullet"/>
      <w:lvlText w:val="-"/>
      <w:lvlJc w:val="left"/>
      <w:pPr>
        <w:tabs>
          <w:tab w:val="num" w:pos="5040"/>
        </w:tabs>
        <w:ind w:left="5040" w:hanging="360"/>
      </w:pPr>
      <w:rPr>
        <w:rFonts w:ascii="Arial" w:hAnsi="Arial" w:hint="default"/>
      </w:rPr>
    </w:lvl>
    <w:lvl w:ilvl="7" w:tplc="4AF865CE" w:tentative="1">
      <w:start w:val="1"/>
      <w:numFmt w:val="bullet"/>
      <w:lvlText w:val="-"/>
      <w:lvlJc w:val="left"/>
      <w:pPr>
        <w:tabs>
          <w:tab w:val="num" w:pos="5760"/>
        </w:tabs>
        <w:ind w:left="5760" w:hanging="360"/>
      </w:pPr>
      <w:rPr>
        <w:rFonts w:ascii="Arial" w:hAnsi="Arial" w:hint="default"/>
      </w:rPr>
    </w:lvl>
    <w:lvl w:ilvl="8" w:tplc="0784A0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062574"/>
    <w:multiLevelType w:val="hybridMultilevel"/>
    <w:tmpl w:val="1056F5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D7714"/>
    <w:multiLevelType w:val="hybridMultilevel"/>
    <w:tmpl w:val="4ABA2346"/>
    <w:lvl w:ilvl="0" w:tplc="EB6AFAE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5D6D62"/>
    <w:multiLevelType w:val="hybridMultilevel"/>
    <w:tmpl w:val="2E9C678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FC3F4B"/>
    <w:multiLevelType w:val="hybridMultilevel"/>
    <w:tmpl w:val="E4CC0A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83B74"/>
    <w:multiLevelType w:val="multilevel"/>
    <w:tmpl w:val="00062F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4AF7847"/>
    <w:multiLevelType w:val="hybridMultilevel"/>
    <w:tmpl w:val="2134263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90D17"/>
    <w:multiLevelType w:val="hybridMultilevel"/>
    <w:tmpl w:val="F4DC62C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33499"/>
    <w:multiLevelType w:val="hybridMultilevel"/>
    <w:tmpl w:val="06FADEB4"/>
    <w:lvl w:ilvl="0" w:tplc="0409000F">
      <w:start w:val="1"/>
      <w:numFmt w:val="decimal"/>
      <w:lvlText w:val="%1."/>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211AA"/>
    <w:multiLevelType w:val="hybridMultilevel"/>
    <w:tmpl w:val="C0341C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012DB2"/>
    <w:multiLevelType w:val="hybridMultilevel"/>
    <w:tmpl w:val="91BA2A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763BAB"/>
    <w:multiLevelType w:val="hybridMultilevel"/>
    <w:tmpl w:val="10887C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1D58C3"/>
    <w:multiLevelType w:val="hybridMultilevel"/>
    <w:tmpl w:val="D64E00D2"/>
    <w:lvl w:ilvl="0" w:tplc="F2FAFAB6">
      <w:start w:val="1"/>
      <w:numFmt w:val="bullet"/>
      <w:lvlText w:val="•"/>
      <w:lvlJc w:val="left"/>
      <w:pPr>
        <w:tabs>
          <w:tab w:val="num" w:pos="720"/>
        </w:tabs>
        <w:ind w:left="720" w:hanging="360"/>
      </w:pPr>
      <w:rPr>
        <w:rFonts w:ascii="Arial" w:hAnsi="Arial" w:hint="default"/>
      </w:rPr>
    </w:lvl>
    <w:lvl w:ilvl="1" w:tplc="DC88CCBA">
      <w:start w:val="206"/>
      <w:numFmt w:val="bullet"/>
      <w:lvlText w:val="-"/>
      <w:lvlJc w:val="left"/>
      <w:pPr>
        <w:tabs>
          <w:tab w:val="num" w:pos="1440"/>
        </w:tabs>
        <w:ind w:left="1440" w:hanging="360"/>
      </w:pPr>
      <w:rPr>
        <w:rFonts w:ascii="Arial" w:hAnsi="Arial" w:hint="default"/>
      </w:rPr>
    </w:lvl>
    <w:lvl w:ilvl="2" w:tplc="7D42DA1E" w:tentative="1">
      <w:start w:val="1"/>
      <w:numFmt w:val="bullet"/>
      <w:lvlText w:val="•"/>
      <w:lvlJc w:val="left"/>
      <w:pPr>
        <w:tabs>
          <w:tab w:val="num" w:pos="2160"/>
        </w:tabs>
        <w:ind w:left="2160" w:hanging="360"/>
      </w:pPr>
      <w:rPr>
        <w:rFonts w:ascii="Arial" w:hAnsi="Arial" w:hint="default"/>
      </w:rPr>
    </w:lvl>
    <w:lvl w:ilvl="3" w:tplc="5268F65E" w:tentative="1">
      <w:start w:val="1"/>
      <w:numFmt w:val="bullet"/>
      <w:lvlText w:val="•"/>
      <w:lvlJc w:val="left"/>
      <w:pPr>
        <w:tabs>
          <w:tab w:val="num" w:pos="2880"/>
        </w:tabs>
        <w:ind w:left="2880" w:hanging="360"/>
      </w:pPr>
      <w:rPr>
        <w:rFonts w:ascii="Arial" w:hAnsi="Arial" w:hint="default"/>
      </w:rPr>
    </w:lvl>
    <w:lvl w:ilvl="4" w:tplc="408832CC" w:tentative="1">
      <w:start w:val="1"/>
      <w:numFmt w:val="bullet"/>
      <w:lvlText w:val="•"/>
      <w:lvlJc w:val="left"/>
      <w:pPr>
        <w:tabs>
          <w:tab w:val="num" w:pos="3600"/>
        </w:tabs>
        <w:ind w:left="3600" w:hanging="360"/>
      </w:pPr>
      <w:rPr>
        <w:rFonts w:ascii="Arial" w:hAnsi="Arial" w:hint="default"/>
      </w:rPr>
    </w:lvl>
    <w:lvl w:ilvl="5" w:tplc="3A3EA4D2" w:tentative="1">
      <w:start w:val="1"/>
      <w:numFmt w:val="bullet"/>
      <w:lvlText w:val="•"/>
      <w:lvlJc w:val="left"/>
      <w:pPr>
        <w:tabs>
          <w:tab w:val="num" w:pos="4320"/>
        </w:tabs>
        <w:ind w:left="4320" w:hanging="360"/>
      </w:pPr>
      <w:rPr>
        <w:rFonts w:ascii="Arial" w:hAnsi="Arial" w:hint="default"/>
      </w:rPr>
    </w:lvl>
    <w:lvl w:ilvl="6" w:tplc="74624E5E" w:tentative="1">
      <w:start w:val="1"/>
      <w:numFmt w:val="bullet"/>
      <w:lvlText w:val="•"/>
      <w:lvlJc w:val="left"/>
      <w:pPr>
        <w:tabs>
          <w:tab w:val="num" w:pos="5040"/>
        </w:tabs>
        <w:ind w:left="5040" w:hanging="360"/>
      </w:pPr>
      <w:rPr>
        <w:rFonts w:ascii="Arial" w:hAnsi="Arial" w:hint="default"/>
      </w:rPr>
    </w:lvl>
    <w:lvl w:ilvl="7" w:tplc="05EA45FC" w:tentative="1">
      <w:start w:val="1"/>
      <w:numFmt w:val="bullet"/>
      <w:lvlText w:val="•"/>
      <w:lvlJc w:val="left"/>
      <w:pPr>
        <w:tabs>
          <w:tab w:val="num" w:pos="5760"/>
        </w:tabs>
        <w:ind w:left="5760" w:hanging="360"/>
      </w:pPr>
      <w:rPr>
        <w:rFonts w:ascii="Arial" w:hAnsi="Arial" w:hint="default"/>
      </w:rPr>
    </w:lvl>
    <w:lvl w:ilvl="8" w:tplc="3F16BC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517893"/>
    <w:multiLevelType w:val="multilevel"/>
    <w:tmpl w:val="0136D8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F9E4EE9"/>
    <w:multiLevelType w:val="hybridMultilevel"/>
    <w:tmpl w:val="0A6876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833F82"/>
    <w:multiLevelType w:val="hybridMultilevel"/>
    <w:tmpl w:val="52E21EC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B16061"/>
    <w:multiLevelType w:val="hybridMultilevel"/>
    <w:tmpl w:val="8E32A4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C2C33"/>
    <w:multiLevelType w:val="multilevel"/>
    <w:tmpl w:val="A0B6E0D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0"/>
  </w:num>
  <w:num w:numId="3">
    <w:abstractNumId w:val="2"/>
  </w:num>
  <w:num w:numId="4">
    <w:abstractNumId w:val="16"/>
  </w:num>
  <w:num w:numId="5">
    <w:abstractNumId w:val="17"/>
  </w:num>
  <w:num w:numId="6">
    <w:abstractNumId w:val="8"/>
  </w:num>
  <w:num w:numId="7">
    <w:abstractNumId w:val="24"/>
  </w:num>
  <w:num w:numId="8">
    <w:abstractNumId w:val="7"/>
  </w:num>
  <w:num w:numId="9">
    <w:abstractNumId w:val="19"/>
  </w:num>
  <w:num w:numId="10">
    <w:abstractNumId w:val="0"/>
  </w:num>
  <w:num w:numId="11">
    <w:abstractNumId w:val="22"/>
  </w:num>
  <w:num w:numId="12">
    <w:abstractNumId w:val="14"/>
  </w:num>
  <w:num w:numId="13">
    <w:abstractNumId w:val="7"/>
  </w:num>
  <w:num w:numId="14">
    <w:abstractNumId w:val="7"/>
  </w:num>
  <w:num w:numId="15">
    <w:abstractNumId w:val="7"/>
  </w:num>
  <w:num w:numId="16">
    <w:abstractNumId w:val="10"/>
  </w:num>
  <w:num w:numId="17">
    <w:abstractNumId w:val="6"/>
  </w:num>
  <w:num w:numId="18">
    <w:abstractNumId w:val="3"/>
  </w:num>
  <w:num w:numId="19">
    <w:abstractNumId w:val="4"/>
  </w:num>
  <w:num w:numId="20">
    <w:abstractNumId w:val="13"/>
  </w:num>
  <w:num w:numId="21">
    <w:abstractNumId w:val="25"/>
  </w:num>
  <w:num w:numId="22">
    <w:abstractNumId w:val="18"/>
  </w:num>
  <w:num w:numId="23">
    <w:abstractNumId w:val="23"/>
  </w:num>
  <w:num w:numId="24">
    <w:abstractNumId w:val="12"/>
  </w:num>
  <w:num w:numId="25">
    <w:abstractNumId w:val="15"/>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11"/>
  </w:num>
  <w:num w:numId="34">
    <w:abstractNumId w:val="21"/>
  </w:num>
  <w:num w:numId="35">
    <w:abstractNumId w:val="9"/>
  </w:num>
  <w:num w:numId="36">
    <w:abstractNumId w:val="2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05fze5sdpdrx7eaafv5prw15tv5x2vp2tzr&quot;&gt;SP_Library&lt;record-ids&gt;&lt;item&gt;873&lt;/item&gt;&lt;/record-ids&gt;&lt;/item&gt;&lt;/Libraries&gt;"/>
  </w:docVars>
  <w:rsids>
    <w:rsidRoot w:val="000605B1"/>
    <w:rsid w:val="00002BE1"/>
    <w:rsid w:val="0001333A"/>
    <w:rsid w:val="00021291"/>
    <w:rsid w:val="00035406"/>
    <w:rsid w:val="00056B41"/>
    <w:rsid w:val="000605B1"/>
    <w:rsid w:val="0007508B"/>
    <w:rsid w:val="00087CBD"/>
    <w:rsid w:val="000A6D10"/>
    <w:rsid w:val="000B06FA"/>
    <w:rsid w:val="000B3A53"/>
    <w:rsid w:val="000C091A"/>
    <w:rsid w:val="000C4D9C"/>
    <w:rsid w:val="000D6782"/>
    <w:rsid w:val="000D7B2E"/>
    <w:rsid w:val="000F0936"/>
    <w:rsid w:val="00111BAF"/>
    <w:rsid w:val="0011481F"/>
    <w:rsid w:val="0011514B"/>
    <w:rsid w:val="0015155F"/>
    <w:rsid w:val="00156C1E"/>
    <w:rsid w:val="0016113B"/>
    <w:rsid w:val="00183BDF"/>
    <w:rsid w:val="0019023A"/>
    <w:rsid w:val="001934C9"/>
    <w:rsid w:val="00196643"/>
    <w:rsid w:val="001A3FD2"/>
    <w:rsid w:val="001B0C09"/>
    <w:rsid w:val="001D32A9"/>
    <w:rsid w:val="001E16BA"/>
    <w:rsid w:val="001E3104"/>
    <w:rsid w:val="0020709F"/>
    <w:rsid w:val="002157EA"/>
    <w:rsid w:val="0021783D"/>
    <w:rsid w:val="00225E66"/>
    <w:rsid w:val="00235A9E"/>
    <w:rsid w:val="00257004"/>
    <w:rsid w:val="0027128A"/>
    <w:rsid w:val="00281803"/>
    <w:rsid w:val="002A4989"/>
    <w:rsid w:val="002C0EEB"/>
    <w:rsid w:val="002C44EB"/>
    <w:rsid w:val="002E5280"/>
    <w:rsid w:val="00320D23"/>
    <w:rsid w:val="00320E4A"/>
    <w:rsid w:val="00341ABD"/>
    <w:rsid w:val="00345EBC"/>
    <w:rsid w:val="00346B8D"/>
    <w:rsid w:val="0036239B"/>
    <w:rsid w:val="0036267B"/>
    <w:rsid w:val="00372086"/>
    <w:rsid w:val="00385255"/>
    <w:rsid w:val="003929DB"/>
    <w:rsid w:val="003A7986"/>
    <w:rsid w:val="003B09F9"/>
    <w:rsid w:val="003B5E4F"/>
    <w:rsid w:val="003D3A96"/>
    <w:rsid w:val="004065CE"/>
    <w:rsid w:val="00421C5C"/>
    <w:rsid w:val="00430AB4"/>
    <w:rsid w:val="00431A13"/>
    <w:rsid w:val="00441E4C"/>
    <w:rsid w:val="00444E67"/>
    <w:rsid w:val="004467AE"/>
    <w:rsid w:val="00461C5F"/>
    <w:rsid w:val="004640BF"/>
    <w:rsid w:val="0046673F"/>
    <w:rsid w:val="00473030"/>
    <w:rsid w:val="004745ED"/>
    <w:rsid w:val="00480816"/>
    <w:rsid w:val="0048176E"/>
    <w:rsid w:val="004840CF"/>
    <w:rsid w:val="004924A2"/>
    <w:rsid w:val="004B6509"/>
    <w:rsid w:val="004B7BB9"/>
    <w:rsid w:val="004C7E40"/>
    <w:rsid w:val="004F2BC1"/>
    <w:rsid w:val="005009B2"/>
    <w:rsid w:val="00514523"/>
    <w:rsid w:val="005218E2"/>
    <w:rsid w:val="005233FA"/>
    <w:rsid w:val="005243FC"/>
    <w:rsid w:val="0052554A"/>
    <w:rsid w:val="00533FF2"/>
    <w:rsid w:val="00550D0C"/>
    <w:rsid w:val="00555861"/>
    <w:rsid w:val="0055729A"/>
    <w:rsid w:val="00570AC6"/>
    <w:rsid w:val="00574F0E"/>
    <w:rsid w:val="00577535"/>
    <w:rsid w:val="005839F3"/>
    <w:rsid w:val="00594818"/>
    <w:rsid w:val="005A23A1"/>
    <w:rsid w:val="005B0E1A"/>
    <w:rsid w:val="005B1B40"/>
    <w:rsid w:val="005B61B5"/>
    <w:rsid w:val="005D6729"/>
    <w:rsid w:val="005E4C6F"/>
    <w:rsid w:val="005F0DE2"/>
    <w:rsid w:val="00612382"/>
    <w:rsid w:val="00617DD7"/>
    <w:rsid w:val="00640F63"/>
    <w:rsid w:val="006410A7"/>
    <w:rsid w:val="00643CAF"/>
    <w:rsid w:val="00647670"/>
    <w:rsid w:val="00667A78"/>
    <w:rsid w:val="006709FC"/>
    <w:rsid w:val="0068005E"/>
    <w:rsid w:val="00683E41"/>
    <w:rsid w:val="006C551F"/>
    <w:rsid w:val="006D0651"/>
    <w:rsid w:val="006D1B36"/>
    <w:rsid w:val="006E074E"/>
    <w:rsid w:val="006E65F3"/>
    <w:rsid w:val="006F2845"/>
    <w:rsid w:val="00707E5C"/>
    <w:rsid w:val="007123B0"/>
    <w:rsid w:val="007427DE"/>
    <w:rsid w:val="007470A3"/>
    <w:rsid w:val="00752509"/>
    <w:rsid w:val="00757645"/>
    <w:rsid w:val="0076064C"/>
    <w:rsid w:val="00763E80"/>
    <w:rsid w:val="007722BF"/>
    <w:rsid w:val="00774902"/>
    <w:rsid w:val="007824B7"/>
    <w:rsid w:val="0079074B"/>
    <w:rsid w:val="0079711F"/>
    <w:rsid w:val="007B348A"/>
    <w:rsid w:val="007C099C"/>
    <w:rsid w:val="007C1544"/>
    <w:rsid w:val="007C2AA3"/>
    <w:rsid w:val="007C5EAA"/>
    <w:rsid w:val="007E56CD"/>
    <w:rsid w:val="007E609D"/>
    <w:rsid w:val="007F7680"/>
    <w:rsid w:val="007F7E9F"/>
    <w:rsid w:val="008057B0"/>
    <w:rsid w:val="0080613D"/>
    <w:rsid w:val="008111C7"/>
    <w:rsid w:val="00815638"/>
    <w:rsid w:val="008206F6"/>
    <w:rsid w:val="00830FD6"/>
    <w:rsid w:val="008310C1"/>
    <w:rsid w:val="008540BB"/>
    <w:rsid w:val="00862DA1"/>
    <w:rsid w:val="00863ED1"/>
    <w:rsid w:val="00864A69"/>
    <w:rsid w:val="008808C8"/>
    <w:rsid w:val="00880A94"/>
    <w:rsid w:val="008832E1"/>
    <w:rsid w:val="0088460C"/>
    <w:rsid w:val="00887234"/>
    <w:rsid w:val="0089429F"/>
    <w:rsid w:val="008C1ED1"/>
    <w:rsid w:val="008C5763"/>
    <w:rsid w:val="008C5FEE"/>
    <w:rsid w:val="008D65A1"/>
    <w:rsid w:val="008E3C6E"/>
    <w:rsid w:val="008F1FB8"/>
    <w:rsid w:val="009008C0"/>
    <w:rsid w:val="00906D90"/>
    <w:rsid w:val="00915D6C"/>
    <w:rsid w:val="00917A1D"/>
    <w:rsid w:val="00922681"/>
    <w:rsid w:val="009322C4"/>
    <w:rsid w:val="009809A8"/>
    <w:rsid w:val="009A274C"/>
    <w:rsid w:val="009E490A"/>
    <w:rsid w:val="009F16A5"/>
    <w:rsid w:val="009F681E"/>
    <w:rsid w:val="00A30920"/>
    <w:rsid w:val="00A36B66"/>
    <w:rsid w:val="00A47BE9"/>
    <w:rsid w:val="00A51549"/>
    <w:rsid w:val="00A64400"/>
    <w:rsid w:val="00A76CEB"/>
    <w:rsid w:val="00A84288"/>
    <w:rsid w:val="00A95E01"/>
    <w:rsid w:val="00AA3131"/>
    <w:rsid w:val="00AA6E49"/>
    <w:rsid w:val="00AB073E"/>
    <w:rsid w:val="00AB5DC1"/>
    <w:rsid w:val="00AF290D"/>
    <w:rsid w:val="00B076C2"/>
    <w:rsid w:val="00B361B8"/>
    <w:rsid w:val="00B4210D"/>
    <w:rsid w:val="00B46B92"/>
    <w:rsid w:val="00B7348F"/>
    <w:rsid w:val="00B97CA3"/>
    <w:rsid w:val="00BC4E80"/>
    <w:rsid w:val="00BC7943"/>
    <w:rsid w:val="00BD74CF"/>
    <w:rsid w:val="00BE2085"/>
    <w:rsid w:val="00BE5A58"/>
    <w:rsid w:val="00C12EBD"/>
    <w:rsid w:val="00C1505A"/>
    <w:rsid w:val="00C50B7D"/>
    <w:rsid w:val="00C55560"/>
    <w:rsid w:val="00C936BC"/>
    <w:rsid w:val="00C956FD"/>
    <w:rsid w:val="00CA27B4"/>
    <w:rsid w:val="00CC3BA8"/>
    <w:rsid w:val="00CD6414"/>
    <w:rsid w:val="00CE37DA"/>
    <w:rsid w:val="00D06508"/>
    <w:rsid w:val="00D17294"/>
    <w:rsid w:val="00D222E9"/>
    <w:rsid w:val="00D47852"/>
    <w:rsid w:val="00D56D38"/>
    <w:rsid w:val="00D571F6"/>
    <w:rsid w:val="00D67143"/>
    <w:rsid w:val="00D75BA1"/>
    <w:rsid w:val="00D812C8"/>
    <w:rsid w:val="00DA27EE"/>
    <w:rsid w:val="00DA799B"/>
    <w:rsid w:val="00DC2FD8"/>
    <w:rsid w:val="00DD79C5"/>
    <w:rsid w:val="00DE1DA1"/>
    <w:rsid w:val="00DE3935"/>
    <w:rsid w:val="00DE7F77"/>
    <w:rsid w:val="00E0799C"/>
    <w:rsid w:val="00E10650"/>
    <w:rsid w:val="00E12DB8"/>
    <w:rsid w:val="00E14543"/>
    <w:rsid w:val="00E41B91"/>
    <w:rsid w:val="00E512CB"/>
    <w:rsid w:val="00E61EC1"/>
    <w:rsid w:val="00E6486C"/>
    <w:rsid w:val="00E81916"/>
    <w:rsid w:val="00E833BD"/>
    <w:rsid w:val="00E91E81"/>
    <w:rsid w:val="00E93BA6"/>
    <w:rsid w:val="00E975A9"/>
    <w:rsid w:val="00EB5138"/>
    <w:rsid w:val="00EC399E"/>
    <w:rsid w:val="00EC533B"/>
    <w:rsid w:val="00EE6B74"/>
    <w:rsid w:val="00EF063C"/>
    <w:rsid w:val="00EF62C6"/>
    <w:rsid w:val="00F04811"/>
    <w:rsid w:val="00F21335"/>
    <w:rsid w:val="00F21F88"/>
    <w:rsid w:val="00F2716A"/>
    <w:rsid w:val="00F3056C"/>
    <w:rsid w:val="00F41B4F"/>
    <w:rsid w:val="00F451D2"/>
    <w:rsid w:val="00F50DA7"/>
    <w:rsid w:val="00F63920"/>
    <w:rsid w:val="00F80008"/>
    <w:rsid w:val="00F85167"/>
    <w:rsid w:val="00F85AE7"/>
    <w:rsid w:val="00F871AC"/>
    <w:rsid w:val="00F95D33"/>
    <w:rsid w:val="00FB2396"/>
    <w:rsid w:val="00FB446B"/>
    <w:rsid w:val="00FB4524"/>
    <w:rsid w:val="00FD1709"/>
    <w:rsid w:val="00FD2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3093D"/>
  <w15:chartTrackingRefBased/>
  <w15:docId w15:val="{D2E2DE59-9D45-44BB-903D-4F07F1AA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A7"/>
    <w:rPr>
      <w:sz w:val="24"/>
      <w:szCs w:val="24"/>
      <w:lang w:val="hu-HU" w:eastAsia="hu-HU"/>
    </w:rPr>
  </w:style>
  <w:style w:type="paragraph" w:styleId="Titre1">
    <w:name w:val="heading 1"/>
    <w:basedOn w:val="Normal"/>
    <w:next w:val="Normal"/>
    <w:link w:val="Titre1Car"/>
    <w:uiPriority w:val="9"/>
    <w:qFormat/>
    <w:rsid w:val="00AB073E"/>
    <w:pPr>
      <w:keepNext/>
      <w:keepLines/>
      <w:widowControl w:val="0"/>
      <w:spacing w:before="240"/>
      <w:outlineLvl w:val="0"/>
    </w:pPr>
    <w:rPr>
      <w:rFonts w:asciiTheme="majorHAnsi" w:eastAsiaTheme="majorEastAsia" w:hAnsiTheme="majorHAnsi" w:cstheme="majorBidi"/>
      <w:snapToGrid w:val="0"/>
      <w:color w:val="2E74B5" w:themeColor="accent1" w:themeShade="BF"/>
      <w:sz w:val="32"/>
      <w:szCs w:val="32"/>
      <w:lang w:val="en-US" w:eastAsia="en-US"/>
    </w:rPr>
  </w:style>
  <w:style w:type="paragraph" w:styleId="Titre3">
    <w:name w:val="heading 3"/>
    <w:basedOn w:val="Normal"/>
    <w:next w:val="Normal"/>
    <w:link w:val="Titre3Car"/>
    <w:qFormat/>
    <w:rsid w:val="00880A9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073E"/>
    <w:rPr>
      <w:rFonts w:asciiTheme="majorHAnsi" w:eastAsiaTheme="majorEastAsia" w:hAnsiTheme="majorHAnsi" w:cstheme="majorBidi"/>
      <w:snapToGrid w:val="0"/>
      <w:color w:val="2E74B5" w:themeColor="accent1" w:themeShade="BF"/>
      <w:sz w:val="32"/>
      <w:szCs w:val="32"/>
      <w:lang w:val="en-US" w:eastAsia="en-US"/>
    </w:rPr>
  </w:style>
  <w:style w:type="character" w:customStyle="1" w:styleId="Titre3Car">
    <w:name w:val="Titre 3 Car"/>
    <w:link w:val="Titre3"/>
    <w:rsid w:val="00880A94"/>
    <w:rPr>
      <w:rFonts w:ascii="Arial" w:hAnsi="Arial" w:cs="Arial"/>
      <w:b/>
      <w:bCs/>
      <w:sz w:val="26"/>
      <w:szCs w:val="26"/>
      <w:lang w:val="hu-HU" w:eastAsia="hu-HU" w:bidi="ar-SA"/>
    </w:rPr>
  </w:style>
  <w:style w:type="character" w:styleId="Numrodeligne">
    <w:name w:val="line number"/>
    <w:basedOn w:val="Policepardfaut"/>
    <w:rsid w:val="0027128A"/>
  </w:style>
  <w:style w:type="paragraph" w:styleId="Pieddepage">
    <w:name w:val="footer"/>
    <w:basedOn w:val="Normal"/>
    <w:link w:val="PieddepageCar"/>
    <w:uiPriority w:val="99"/>
    <w:rsid w:val="0027128A"/>
    <w:pPr>
      <w:tabs>
        <w:tab w:val="center" w:pos="4320"/>
        <w:tab w:val="right" w:pos="8640"/>
      </w:tabs>
    </w:pPr>
  </w:style>
  <w:style w:type="character" w:customStyle="1" w:styleId="PieddepageCar">
    <w:name w:val="Pied de page Car"/>
    <w:basedOn w:val="Policepardfaut"/>
    <w:link w:val="Pieddepage"/>
    <w:uiPriority w:val="99"/>
    <w:rsid w:val="00AB073E"/>
    <w:rPr>
      <w:sz w:val="24"/>
      <w:szCs w:val="24"/>
      <w:lang w:val="hu-HU" w:eastAsia="hu-HU"/>
    </w:rPr>
  </w:style>
  <w:style w:type="character" w:styleId="Numrodepage">
    <w:name w:val="page number"/>
    <w:basedOn w:val="Policepardfaut"/>
    <w:rsid w:val="0027128A"/>
  </w:style>
  <w:style w:type="character" w:styleId="Lienhypertexte">
    <w:name w:val="Hyperlink"/>
    <w:uiPriority w:val="99"/>
    <w:rsid w:val="00021291"/>
    <w:rPr>
      <w:color w:val="0000FF"/>
      <w:u w:val="single"/>
    </w:rPr>
  </w:style>
  <w:style w:type="paragraph" w:styleId="Notedebasdepage">
    <w:name w:val="footnote text"/>
    <w:basedOn w:val="Normal"/>
    <w:link w:val="NotedebasdepageCar"/>
    <w:uiPriority w:val="99"/>
    <w:semiHidden/>
    <w:rsid w:val="00594818"/>
    <w:rPr>
      <w:sz w:val="20"/>
      <w:szCs w:val="20"/>
    </w:rPr>
  </w:style>
  <w:style w:type="character" w:customStyle="1" w:styleId="NotedebasdepageCar">
    <w:name w:val="Note de bas de page Car"/>
    <w:basedOn w:val="Policepardfaut"/>
    <w:link w:val="Notedebasdepage"/>
    <w:uiPriority w:val="99"/>
    <w:semiHidden/>
    <w:rsid w:val="00AB073E"/>
    <w:rPr>
      <w:lang w:val="hu-HU" w:eastAsia="hu-HU"/>
    </w:rPr>
  </w:style>
  <w:style w:type="character" w:styleId="Appelnotedebasdep">
    <w:name w:val="footnote reference"/>
    <w:uiPriority w:val="99"/>
    <w:semiHidden/>
    <w:rsid w:val="00594818"/>
    <w:rPr>
      <w:vertAlign w:val="superscript"/>
    </w:rPr>
  </w:style>
  <w:style w:type="paragraph" w:customStyle="1" w:styleId="JRNCTitle">
    <w:name w:val="JRNC_Title"/>
    <w:basedOn w:val="Normal"/>
    <w:next w:val="JRNCAuthors"/>
    <w:rsid w:val="00225E66"/>
    <w:pPr>
      <w:spacing w:before="480" w:after="300" w:line="360" w:lineRule="auto"/>
      <w:jc w:val="center"/>
      <w:outlineLvl w:val="0"/>
    </w:pPr>
    <w:rPr>
      <w:rFonts w:cs="Arial"/>
      <w:b/>
      <w:bCs/>
      <w:kern w:val="28"/>
      <w:sz w:val="36"/>
      <w:szCs w:val="32"/>
      <w:lang w:val="en-US"/>
    </w:rPr>
  </w:style>
  <w:style w:type="paragraph" w:customStyle="1" w:styleId="JRNCAuthors">
    <w:name w:val="JRNC_Authors"/>
    <w:basedOn w:val="JRNCBody"/>
    <w:next w:val="JRNCAffiliations"/>
    <w:rsid w:val="00341ABD"/>
    <w:pPr>
      <w:jc w:val="center"/>
    </w:pPr>
  </w:style>
  <w:style w:type="paragraph" w:customStyle="1" w:styleId="JRNCBody">
    <w:name w:val="JRNC_Body"/>
    <w:basedOn w:val="Normal"/>
    <w:rsid w:val="00B46B92"/>
    <w:pPr>
      <w:spacing w:before="240" w:after="240" w:line="360" w:lineRule="auto"/>
      <w:jc w:val="both"/>
    </w:pPr>
    <w:rPr>
      <w:szCs w:val="20"/>
    </w:rPr>
  </w:style>
  <w:style w:type="paragraph" w:customStyle="1" w:styleId="JRNCAffiliations">
    <w:name w:val="JRNC_Affiliations"/>
    <w:basedOn w:val="JRNCAuthors"/>
    <w:rsid w:val="00341ABD"/>
    <w:rPr>
      <w:i/>
      <w:iCs/>
    </w:rPr>
  </w:style>
  <w:style w:type="paragraph" w:customStyle="1" w:styleId="JRNCBullet">
    <w:name w:val="JRNC_Bullet"/>
    <w:basedOn w:val="Normal"/>
    <w:rsid w:val="00B46B92"/>
    <w:pPr>
      <w:numPr>
        <w:numId w:val="8"/>
      </w:numPr>
      <w:spacing w:before="120" w:after="120" w:line="360" w:lineRule="auto"/>
      <w:jc w:val="both"/>
    </w:pPr>
    <w:rPr>
      <w:lang w:val="en-US"/>
    </w:rPr>
  </w:style>
  <w:style w:type="paragraph" w:customStyle="1" w:styleId="JRNCTertiarySectionTitle">
    <w:name w:val="JRNC_Tertiary_Section_Title"/>
    <w:basedOn w:val="JRNCSecondarySectionTitle"/>
    <w:next w:val="JRNCBody"/>
    <w:rsid w:val="00225E66"/>
    <w:pPr>
      <w:jc w:val="left"/>
    </w:pPr>
    <w:rPr>
      <w:i/>
    </w:rPr>
  </w:style>
  <w:style w:type="paragraph" w:customStyle="1" w:styleId="JRNCSecondarySectionTitle">
    <w:name w:val="JRNC_Secondary_Section_Title"/>
    <w:basedOn w:val="JRNCPrimarySectionTitle"/>
    <w:next w:val="JRNCBody"/>
    <w:rsid w:val="00225E66"/>
    <w:pPr>
      <w:jc w:val="both"/>
    </w:pPr>
    <w:rPr>
      <w:b w:val="0"/>
    </w:rPr>
  </w:style>
  <w:style w:type="paragraph" w:customStyle="1" w:styleId="JRNCPrimarySectionTitle">
    <w:name w:val="JRNC_Primary_Section_Title"/>
    <w:basedOn w:val="Normal"/>
    <w:rsid w:val="0068005E"/>
    <w:pPr>
      <w:spacing w:before="480" w:after="480"/>
      <w:ind w:firstLine="360"/>
    </w:pPr>
    <w:rPr>
      <w:b/>
      <w:sz w:val="28"/>
      <w:lang w:val="en-US"/>
    </w:rPr>
  </w:style>
  <w:style w:type="paragraph" w:customStyle="1" w:styleId="JRNCAbstractBody">
    <w:name w:val="JRNC_Abstract_Body"/>
    <w:basedOn w:val="Normal"/>
    <w:rsid w:val="00EB5138"/>
    <w:pPr>
      <w:spacing w:before="240" w:after="240" w:line="360" w:lineRule="auto"/>
      <w:jc w:val="both"/>
    </w:pPr>
    <w:rPr>
      <w:lang w:val="en-US"/>
    </w:rPr>
  </w:style>
  <w:style w:type="paragraph" w:customStyle="1" w:styleId="JRNCFootnote">
    <w:name w:val="JRNC_Footnote"/>
    <w:basedOn w:val="Normal"/>
    <w:next w:val="JRNCBody"/>
    <w:rsid w:val="00225E66"/>
    <w:pPr>
      <w:spacing w:line="360" w:lineRule="auto"/>
      <w:ind w:firstLine="360"/>
      <w:jc w:val="both"/>
    </w:pPr>
    <w:rPr>
      <w:sz w:val="22"/>
      <w:lang w:val="en-US"/>
    </w:rPr>
  </w:style>
  <w:style w:type="paragraph" w:customStyle="1" w:styleId="JRNCKeywordsBody">
    <w:name w:val="JRNC_Keywords_Body"/>
    <w:basedOn w:val="JRNCAbstractBody"/>
    <w:next w:val="JRNCBody"/>
    <w:rsid w:val="006410A7"/>
    <w:pPr>
      <w:spacing w:before="480" w:after="480"/>
    </w:pPr>
  </w:style>
  <w:style w:type="paragraph" w:customStyle="1" w:styleId="JRNCReferenceList">
    <w:name w:val="JRNC_Reference_List"/>
    <w:basedOn w:val="JRNCBody"/>
    <w:rsid w:val="00F451D2"/>
    <w:pPr>
      <w:spacing w:before="0" w:after="0"/>
      <w:ind w:left="360" w:hanging="360"/>
    </w:pPr>
  </w:style>
  <w:style w:type="paragraph" w:customStyle="1" w:styleId="JRNCFigureCaption">
    <w:name w:val="JRNC_Figure_Caption"/>
    <w:basedOn w:val="Normal"/>
    <w:next w:val="JRNCBody"/>
    <w:link w:val="JRNCFigureCaptionChar"/>
    <w:rsid w:val="004840CF"/>
    <w:pPr>
      <w:spacing w:before="240" w:after="240"/>
      <w:jc w:val="center"/>
    </w:pPr>
    <w:rPr>
      <w:lang w:val="en-US"/>
    </w:rPr>
  </w:style>
  <w:style w:type="character" w:customStyle="1" w:styleId="JRNCFigureCaptionChar">
    <w:name w:val="JRNC_Figure_Caption Char"/>
    <w:link w:val="JRNCFigureCaption"/>
    <w:rsid w:val="007C2AA3"/>
    <w:rPr>
      <w:sz w:val="24"/>
      <w:szCs w:val="24"/>
      <w:lang w:val="en-US" w:eastAsia="hu-HU" w:bidi="ar-SA"/>
    </w:rPr>
  </w:style>
  <w:style w:type="paragraph" w:customStyle="1" w:styleId="JRNCTableCaption">
    <w:name w:val="JRNC_Table_Caption"/>
    <w:basedOn w:val="JRNCBody"/>
    <w:next w:val="JRNCBody"/>
    <w:rsid w:val="00F21F88"/>
    <w:pPr>
      <w:spacing w:before="480" w:after="120"/>
      <w:jc w:val="left"/>
    </w:pPr>
    <w:rPr>
      <w:lang w:val="en-US"/>
    </w:rPr>
  </w:style>
  <w:style w:type="table" w:styleId="Grilledutableau">
    <w:name w:val="Table Grid"/>
    <w:basedOn w:val="TableauNormal"/>
    <w:uiPriority w:val="59"/>
    <w:rsid w:val="00D47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667A78"/>
    <w:pPr>
      <w:tabs>
        <w:tab w:val="center" w:pos="4320"/>
        <w:tab w:val="right" w:pos="8640"/>
      </w:tabs>
    </w:pPr>
  </w:style>
  <w:style w:type="character" w:customStyle="1" w:styleId="En-tteCar">
    <w:name w:val="En-tête Car"/>
    <w:basedOn w:val="Policepardfaut"/>
    <w:link w:val="En-tte"/>
    <w:uiPriority w:val="99"/>
    <w:rsid w:val="00AB073E"/>
    <w:rPr>
      <w:sz w:val="24"/>
      <w:szCs w:val="24"/>
      <w:lang w:val="hu-HU" w:eastAsia="hu-HU"/>
    </w:rPr>
  </w:style>
  <w:style w:type="paragraph" w:customStyle="1" w:styleId="JRNCFigurePosition">
    <w:name w:val="JRNC_Figure_Position"/>
    <w:basedOn w:val="Normal"/>
    <w:next w:val="JRNCFigureCaption"/>
    <w:rsid w:val="005B61B5"/>
    <w:pPr>
      <w:jc w:val="center"/>
    </w:pPr>
    <w:rPr>
      <w:szCs w:val="20"/>
    </w:rPr>
  </w:style>
  <w:style w:type="paragraph" w:customStyle="1" w:styleId="JRNCEquation">
    <w:name w:val="JRNC_Equation"/>
    <w:basedOn w:val="JRNCBody"/>
    <w:next w:val="JRNCBody"/>
    <w:rsid w:val="00281803"/>
    <w:pPr>
      <w:tabs>
        <w:tab w:val="center" w:pos="4320"/>
        <w:tab w:val="right" w:pos="8640"/>
      </w:tabs>
    </w:pPr>
    <w:rPr>
      <w:i/>
      <w:lang w:val="en-US"/>
    </w:rPr>
  </w:style>
  <w:style w:type="paragraph" w:styleId="Notedefin">
    <w:name w:val="endnote text"/>
    <w:basedOn w:val="Normal"/>
    <w:link w:val="NotedefinCar"/>
    <w:uiPriority w:val="99"/>
    <w:rsid w:val="00F21335"/>
    <w:rPr>
      <w:sz w:val="20"/>
      <w:szCs w:val="20"/>
    </w:rPr>
  </w:style>
  <w:style w:type="character" w:customStyle="1" w:styleId="NotedefinCar">
    <w:name w:val="Note de fin Car"/>
    <w:link w:val="Notedefin"/>
    <w:uiPriority w:val="99"/>
    <w:rsid w:val="00F21335"/>
    <w:rPr>
      <w:lang w:val="hu-HU" w:eastAsia="hu-HU"/>
    </w:rPr>
  </w:style>
  <w:style w:type="character" w:styleId="Appeldenotedefin">
    <w:name w:val="endnote reference"/>
    <w:uiPriority w:val="99"/>
    <w:rsid w:val="00F21335"/>
    <w:rPr>
      <w:vertAlign w:val="superscript"/>
    </w:rPr>
  </w:style>
  <w:style w:type="paragraph" w:styleId="Commentaire">
    <w:name w:val="annotation text"/>
    <w:basedOn w:val="Normal"/>
    <w:link w:val="CommentaireCar"/>
    <w:uiPriority w:val="99"/>
    <w:unhideWhenUsed/>
    <w:rsid w:val="000B06FA"/>
    <w:pPr>
      <w:spacing w:after="160"/>
    </w:pPr>
    <w:rPr>
      <w:rFonts w:ascii="Calibri" w:eastAsia="Calibri" w:hAnsi="Calibri"/>
      <w:sz w:val="20"/>
      <w:szCs w:val="20"/>
      <w:lang w:val="en-GB" w:eastAsia="en-US"/>
    </w:rPr>
  </w:style>
  <w:style w:type="character" w:customStyle="1" w:styleId="CommentaireCar">
    <w:name w:val="Commentaire Car"/>
    <w:link w:val="Commentaire"/>
    <w:uiPriority w:val="99"/>
    <w:rsid w:val="000B06FA"/>
    <w:rPr>
      <w:rFonts w:ascii="Calibri" w:eastAsia="Calibri" w:hAnsi="Calibri"/>
      <w:lang w:val="en-GB" w:eastAsia="en-US"/>
    </w:rPr>
  </w:style>
  <w:style w:type="table" w:styleId="TableauGrille1Clair-Accentuation3">
    <w:name w:val="Grid Table 1 Light Accent 3"/>
    <w:basedOn w:val="TableauNormal"/>
    <w:uiPriority w:val="46"/>
    <w:rsid w:val="000B06F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rsid w:val="000C4D9C"/>
    <w:rPr>
      <w:rFonts w:ascii="Segoe UI" w:hAnsi="Segoe UI" w:cs="Segoe UI"/>
      <w:sz w:val="18"/>
      <w:szCs w:val="18"/>
    </w:rPr>
  </w:style>
  <w:style w:type="character" w:customStyle="1" w:styleId="TextedebullesCar">
    <w:name w:val="Texte de bulles Car"/>
    <w:link w:val="Textedebulles"/>
    <w:uiPriority w:val="99"/>
    <w:rsid w:val="000C4D9C"/>
    <w:rPr>
      <w:rFonts w:ascii="Segoe UI" w:hAnsi="Segoe UI" w:cs="Segoe UI"/>
      <w:sz w:val="18"/>
      <w:szCs w:val="18"/>
      <w:lang w:val="hu-HU" w:eastAsia="hu-HU"/>
    </w:rPr>
  </w:style>
  <w:style w:type="paragraph" w:styleId="NormalWeb">
    <w:name w:val="Normal (Web)"/>
    <w:basedOn w:val="Normal"/>
    <w:uiPriority w:val="99"/>
    <w:unhideWhenUsed/>
    <w:rsid w:val="00AB073E"/>
    <w:pPr>
      <w:widowControl w:val="0"/>
    </w:pPr>
    <w:rPr>
      <w:snapToGrid w:val="0"/>
      <w:lang w:val="en-US" w:eastAsia="en-US"/>
    </w:rPr>
  </w:style>
  <w:style w:type="character" w:customStyle="1" w:styleId="ObjetducommentaireCar">
    <w:name w:val="Objet du commentaire Car"/>
    <w:basedOn w:val="CommentaireCar"/>
    <w:link w:val="Objetducommentaire"/>
    <w:uiPriority w:val="99"/>
    <w:rsid w:val="00AB073E"/>
    <w:rPr>
      <w:rFonts w:ascii="Calibri" w:eastAsia="Calibri" w:hAnsi="Calibri"/>
      <w:b/>
      <w:bCs/>
      <w:snapToGrid w:val="0"/>
      <w:lang w:val="en-US" w:eastAsia="en-US"/>
    </w:rPr>
  </w:style>
  <w:style w:type="paragraph" w:styleId="Objetducommentaire">
    <w:name w:val="annotation subject"/>
    <w:basedOn w:val="Commentaire"/>
    <w:next w:val="Commentaire"/>
    <w:link w:val="ObjetducommentaireCar"/>
    <w:uiPriority w:val="99"/>
    <w:unhideWhenUsed/>
    <w:rsid w:val="00AB073E"/>
    <w:pPr>
      <w:widowControl w:val="0"/>
      <w:spacing w:after="0"/>
    </w:pPr>
    <w:rPr>
      <w:rFonts w:ascii="Times New Roman" w:eastAsia="Times New Roman" w:hAnsi="Times New Roman"/>
      <w:b/>
      <w:bCs/>
      <w:snapToGrid w:val="0"/>
      <w:lang w:val="en-US"/>
    </w:rPr>
  </w:style>
  <w:style w:type="paragraph" w:styleId="Paragraphedeliste">
    <w:name w:val="List Paragraph"/>
    <w:basedOn w:val="Normal"/>
    <w:uiPriority w:val="34"/>
    <w:qFormat/>
    <w:rsid w:val="00AB073E"/>
    <w:pPr>
      <w:ind w:left="720"/>
      <w:contextualSpacing/>
    </w:pPr>
    <w:rPr>
      <w:lang w:val="fr-FR" w:eastAsia="fr-FR"/>
    </w:rPr>
  </w:style>
  <w:style w:type="paragraph" w:styleId="Lgende">
    <w:name w:val="caption"/>
    <w:basedOn w:val="Normal"/>
    <w:next w:val="Normal"/>
    <w:uiPriority w:val="35"/>
    <w:unhideWhenUsed/>
    <w:qFormat/>
    <w:rsid w:val="00AB073E"/>
    <w:pPr>
      <w:widowControl w:val="0"/>
      <w:spacing w:after="200"/>
    </w:pPr>
    <w:rPr>
      <w:i/>
      <w:iCs/>
      <w:snapToGrid w:val="0"/>
      <w:color w:val="44546A" w:themeColor="text2"/>
      <w:sz w:val="18"/>
      <w:szCs w:val="18"/>
      <w:lang w:val="en-US" w:eastAsia="en-US"/>
    </w:rPr>
  </w:style>
  <w:style w:type="paragraph" w:customStyle="1" w:styleId="EndNoteBibliographyTitle">
    <w:name w:val="EndNote Bibliography Title"/>
    <w:basedOn w:val="Normal"/>
    <w:link w:val="EndNoteBibliographyTitleCar"/>
    <w:rsid w:val="009F681E"/>
    <w:pPr>
      <w:jc w:val="center"/>
    </w:pPr>
    <w:rPr>
      <w:noProof/>
      <w:sz w:val="20"/>
    </w:rPr>
  </w:style>
  <w:style w:type="character" w:customStyle="1" w:styleId="EndNoteBibliographyTitleCar">
    <w:name w:val="EndNote Bibliography Title Car"/>
    <w:basedOn w:val="NotedefinCar"/>
    <w:link w:val="EndNoteBibliographyTitle"/>
    <w:rsid w:val="009F681E"/>
    <w:rPr>
      <w:noProof/>
      <w:szCs w:val="24"/>
      <w:lang w:val="hu-HU" w:eastAsia="hu-HU"/>
    </w:rPr>
  </w:style>
  <w:style w:type="paragraph" w:customStyle="1" w:styleId="EndNoteBibliography">
    <w:name w:val="EndNote Bibliography"/>
    <w:basedOn w:val="Normal"/>
    <w:link w:val="EndNoteBibliographyCar"/>
    <w:rsid w:val="009F681E"/>
    <w:rPr>
      <w:noProof/>
      <w:sz w:val="20"/>
    </w:rPr>
  </w:style>
  <w:style w:type="character" w:customStyle="1" w:styleId="EndNoteBibliographyCar">
    <w:name w:val="EndNote Bibliography Car"/>
    <w:basedOn w:val="NotedefinCar"/>
    <w:link w:val="EndNoteBibliography"/>
    <w:rsid w:val="009F681E"/>
    <w:rPr>
      <w:noProof/>
      <w:szCs w:val="24"/>
      <w:lang w:val="hu-HU" w:eastAsia="hu-HU"/>
    </w:rPr>
  </w:style>
  <w:style w:type="paragraph" w:styleId="Bibliographie">
    <w:name w:val="Bibliography"/>
    <w:basedOn w:val="Normal"/>
    <w:next w:val="Normal"/>
    <w:uiPriority w:val="37"/>
    <w:unhideWhenUsed/>
    <w:rsid w:val="00345EBC"/>
    <w:pPr>
      <w:tabs>
        <w:tab w:val="left" w:pos="384"/>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54911">
      <w:bodyDiv w:val="1"/>
      <w:marLeft w:val="0"/>
      <w:marRight w:val="0"/>
      <w:marTop w:val="0"/>
      <w:marBottom w:val="0"/>
      <w:divBdr>
        <w:top w:val="none" w:sz="0" w:space="0" w:color="auto"/>
        <w:left w:val="none" w:sz="0" w:space="0" w:color="auto"/>
        <w:bottom w:val="none" w:sz="0" w:space="0" w:color="auto"/>
        <w:right w:val="none" w:sz="0" w:space="0" w:color="auto"/>
      </w:divBdr>
    </w:div>
    <w:div w:id="20484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ièce jointe de notice" ma:contentTypeID="0x010100D14D93242A0E4F2C80D6AFEF30EB1A1500C8D8F1CBEA868F4A81BD61980E4B7197" ma:contentTypeVersion="5" ma:contentTypeDescription="Pièce jointe d'une notice" ma:contentTypeScope="" ma:versionID="f46e3a06f5787096758271907359139d">
  <xsd:schema xmlns:xsd="http://www.w3.org/2001/XMLSchema" xmlns:xs="http://www.w3.org/2001/XMLSchema" xmlns:p="http://schemas.microsoft.com/office/2006/metadata/properties" xmlns:ns2="91856c2a-a973-4cc5-8918-60870bdff95a" xmlns:ns3="53b49842-386e-469d-987c-aff09ea91675" targetNamespace="http://schemas.microsoft.com/office/2006/metadata/properties" ma:root="true" ma:fieldsID="dfad79b8447d74756029b178c80fd7a2" ns2:_="" ns3:_="">
    <xsd:import namespace="91856c2a-a973-4cc5-8918-60870bdff95a"/>
    <xsd:import namespace="53b49842-386e-469d-987c-aff09ea91675"/>
    <xsd:element name="properties">
      <xsd:complexType>
        <xsd:sequence>
          <xsd:element name="documentManagement">
            <xsd:complexType>
              <xsd:all>
                <xsd:element ref="ns2:map_field_global_docType" minOccurs="0"/>
                <xsd:element ref="ns2:map_field_global_docDiffHAL" minOccurs="0"/>
                <xsd:element ref="ns3:map_field_global_emailAv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56c2a-a973-4cc5-8918-60870bdff95a" elementFormDefault="qualified">
    <xsd:import namespace="http://schemas.microsoft.com/office/2006/documentManagement/types"/>
    <xsd:import namespace="http://schemas.microsoft.com/office/infopath/2007/PartnerControls"/>
    <xsd:element name="map_field_global_docType" ma:index="8" nillable="true" ma:displayName="Type de pièce jointe" ma:internalName="map_field_global_docType">
      <xsd:simpleType>
        <xsd:restriction base="dms:Choice">
          <xsd:enumeration value="préprint"/>
          <xsd:enumeration value="postprint auteur"/>
          <xsd:enumeration value="postprint éditeur"/>
          <xsd:enumeration value="accord éditeur"/>
          <xsd:enumeration value="avis"/>
        </xsd:restriction>
      </xsd:simpleType>
    </xsd:element>
    <xsd:element name="map_field_global_docDiffHAL" ma:index="9" nillable="true" ma:displayName="Texte intégral diffusable sur HAL" ma:internalName="map_field_global_docDiffH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b49842-386e-469d-987c-aff09ea91675" elementFormDefault="qualified">
    <xsd:import namespace="http://schemas.microsoft.com/office/2006/documentManagement/types"/>
    <xsd:import namespace="http://schemas.microsoft.com/office/infopath/2007/PartnerControls"/>
    <xsd:element name="map_field_global_emailAvis" ma:index="10" nillable="true" ma:displayName="Adresse Email de l'avis" ma:internalName="map_field_global_emailAvi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p_field_global_docType xmlns="91856c2a-a973-4cc5-8918-60870bdff95a">postprint auteur</map_field_global_docType>
    <map_field_global_emailAvis xmlns="53b49842-386e-469d-987c-aff09ea91675" xsi:nil="true"/>
    <map_field_global_docDiffHAL xmlns="91856c2a-a973-4cc5-8918-60870bdff95a" xsi:nil="true"/>
  </documentManagement>
</p:properties>
</file>

<file path=customXml/itemProps1.xml><?xml version="1.0" encoding="utf-8"?>
<ds:datastoreItem xmlns:ds="http://schemas.openxmlformats.org/officeDocument/2006/customXml" ds:itemID="{48C9BB52-961F-46B7-9458-6451CAB89697}">
  <ds:schemaRefs>
    <ds:schemaRef ds:uri="http://schemas.openxmlformats.org/officeDocument/2006/bibliography"/>
  </ds:schemaRefs>
</ds:datastoreItem>
</file>

<file path=customXml/itemProps2.xml><?xml version="1.0" encoding="utf-8"?>
<ds:datastoreItem xmlns:ds="http://schemas.openxmlformats.org/officeDocument/2006/customXml" ds:itemID="{A4A98DE6-16A0-4B6C-8C7F-6A8A9EA54EEC}"/>
</file>

<file path=customXml/itemProps3.xml><?xml version="1.0" encoding="utf-8"?>
<ds:datastoreItem xmlns:ds="http://schemas.openxmlformats.org/officeDocument/2006/customXml" ds:itemID="{B0C6EB83-4EF4-4039-9CC6-65CA20D23F91}"/>
</file>

<file path=customXml/itemProps4.xml><?xml version="1.0" encoding="utf-8"?>
<ds:datastoreItem xmlns:ds="http://schemas.openxmlformats.org/officeDocument/2006/customXml" ds:itemID="{EC591453-C93F-4A5B-BC7E-CA9602264D46}"/>
</file>

<file path=docProps/app.xml><?xml version="1.0" encoding="utf-8"?>
<Properties xmlns="http://schemas.openxmlformats.org/officeDocument/2006/extended-properties" xmlns:vt="http://schemas.openxmlformats.org/officeDocument/2006/docPropsVTypes">
  <Template>Normal.dotm</Template>
  <TotalTime>66</TotalTime>
  <Pages>26</Pages>
  <Words>7026</Words>
  <Characters>39296</Characters>
  <Application>Microsoft Office Word</Application>
  <DocSecurity>0</DocSecurity>
  <Lines>327</Lines>
  <Paragraphs>92</Paragraphs>
  <ScaleCrop>false</ScaleCrop>
  <HeadingPairs>
    <vt:vector size="6" baseType="variant">
      <vt:variant>
        <vt:lpstr>Titre</vt:lpstr>
      </vt:variant>
      <vt:variant>
        <vt:i4>1</vt:i4>
      </vt:variant>
      <vt:variant>
        <vt:lpstr>Cím</vt:lpstr>
      </vt:variant>
      <vt:variant>
        <vt:i4>1</vt:i4>
      </vt:variant>
      <vt:variant>
        <vt:lpstr>Title</vt:lpstr>
      </vt:variant>
      <vt:variant>
        <vt:i4>1</vt:i4>
      </vt:variant>
    </vt:vector>
  </HeadingPairs>
  <TitlesOfParts>
    <vt:vector size="3" baseType="lpstr">
      <vt:lpstr>Title page</vt:lpstr>
      <vt:lpstr>Title page</vt:lpstr>
      <vt:lpstr>Title page</vt:lpstr>
    </vt:vector>
  </TitlesOfParts>
  <Company>MTA</Company>
  <LinksUpToDate>false</LinksUpToDate>
  <CharactersWithSpaces>46230</CharactersWithSpaces>
  <SharedDoc>false</SharedDoc>
  <HLinks>
    <vt:vector size="60" baseType="variant">
      <vt:variant>
        <vt:i4>1179656</vt:i4>
      </vt:variant>
      <vt:variant>
        <vt:i4>255</vt:i4>
      </vt:variant>
      <vt:variant>
        <vt:i4>0</vt:i4>
      </vt:variant>
      <vt:variant>
        <vt:i4>5</vt:i4>
      </vt:variant>
      <vt:variant>
        <vt:lpwstr>https://doi.org/10.1016/B978-044451114-0/50039-9</vt:lpwstr>
      </vt:variant>
      <vt:variant>
        <vt:lpwstr/>
      </vt:variant>
      <vt:variant>
        <vt:i4>76</vt:i4>
      </vt:variant>
      <vt:variant>
        <vt:i4>252</vt:i4>
      </vt:variant>
      <vt:variant>
        <vt:i4>0</vt:i4>
      </vt:variant>
      <vt:variant>
        <vt:i4>5</vt:i4>
      </vt:variant>
      <vt:variant>
        <vt:lpwstr>http://www.jmp.com/software/</vt:lpwstr>
      </vt:variant>
      <vt:variant>
        <vt:lpwstr/>
      </vt:variant>
      <vt:variant>
        <vt:i4>7667713</vt:i4>
      </vt:variant>
      <vt:variant>
        <vt:i4>249</vt:i4>
      </vt:variant>
      <vt:variant>
        <vt:i4>0</vt:i4>
      </vt:variant>
      <vt:variant>
        <vt:i4>5</vt:i4>
      </vt:variant>
      <vt:variant>
        <vt:lpwstr>https://inis.iaea.org/collection/NCLCollectionStore/_Public/24/000/24000051.pdf</vt:lpwstr>
      </vt:variant>
      <vt:variant>
        <vt:lpwstr/>
      </vt:variant>
      <vt:variant>
        <vt:i4>1179656</vt:i4>
      </vt:variant>
      <vt:variant>
        <vt:i4>246</vt:i4>
      </vt:variant>
      <vt:variant>
        <vt:i4>0</vt:i4>
      </vt:variant>
      <vt:variant>
        <vt:i4>5</vt:i4>
      </vt:variant>
      <vt:variant>
        <vt:lpwstr>https://doi.org/10.1016/B978-044451114-0/50039-9</vt:lpwstr>
      </vt:variant>
      <vt:variant>
        <vt:lpwstr/>
      </vt:variant>
      <vt:variant>
        <vt:i4>2621515</vt:i4>
      </vt:variant>
      <vt:variant>
        <vt:i4>243</vt:i4>
      </vt:variant>
      <vt:variant>
        <vt:i4>0</vt:i4>
      </vt:variant>
      <vt:variant>
        <vt:i4>5</vt:i4>
      </vt:variant>
      <vt:variant>
        <vt:lpwstr>http://www.iaea.org/inis/collection/NCLCollectionStore/_Public/08/345/8345998.pdf</vt:lpwstr>
      </vt:variant>
      <vt:variant>
        <vt:lpwstr/>
      </vt:variant>
      <vt:variant>
        <vt:i4>2949127</vt:i4>
      </vt:variant>
      <vt:variant>
        <vt:i4>240</vt:i4>
      </vt:variant>
      <vt:variant>
        <vt:i4>0</vt:i4>
      </vt:variant>
      <vt:variant>
        <vt:i4>5</vt:i4>
      </vt:variant>
      <vt:variant>
        <vt:lpwstr>https://inis.iaea.org/collection/NCLCollectionStore/_Public/08/339/8339826.pdf</vt:lpwstr>
      </vt:variant>
      <vt:variant>
        <vt:lpwstr/>
      </vt:variant>
      <vt:variant>
        <vt:i4>6357067</vt:i4>
      </vt:variant>
      <vt:variant>
        <vt:i4>237</vt:i4>
      </vt:variant>
      <vt:variant>
        <vt:i4>0</vt:i4>
      </vt:variant>
      <vt:variant>
        <vt:i4>5</vt:i4>
      </vt:variant>
      <vt:variant>
        <vt:lpwstr>mailto:cetama@cea.fr</vt:lpwstr>
      </vt:variant>
      <vt:variant>
        <vt:lpwstr/>
      </vt:variant>
      <vt:variant>
        <vt:i4>6357067</vt:i4>
      </vt:variant>
      <vt:variant>
        <vt:i4>234</vt:i4>
      </vt:variant>
      <vt:variant>
        <vt:i4>0</vt:i4>
      </vt:variant>
      <vt:variant>
        <vt:i4>5</vt:i4>
      </vt:variant>
      <vt:variant>
        <vt:lpwstr>mailto:cetama@cea.fr</vt:lpwstr>
      </vt:variant>
      <vt:variant>
        <vt:lpwstr/>
      </vt:variant>
      <vt:variant>
        <vt:i4>7733371</vt:i4>
      </vt:variant>
      <vt:variant>
        <vt:i4>231</vt:i4>
      </vt:variant>
      <vt:variant>
        <vt:i4>0</vt:i4>
      </vt:variant>
      <vt:variant>
        <vt:i4>5</vt:i4>
      </vt:variant>
      <vt:variant>
        <vt:lpwstr>https://ec.europa.eu/jrc/en/interlaboratory-comparisons/REIMEP</vt:lpwstr>
      </vt:variant>
      <vt:variant>
        <vt:lpwstr/>
      </vt:variant>
      <vt:variant>
        <vt:i4>3735602</vt:i4>
      </vt:variant>
      <vt:variant>
        <vt:i4>228</vt:i4>
      </vt:variant>
      <vt:variant>
        <vt:i4>0</vt:i4>
      </vt:variant>
      <vt:variant>
        <vt:i4>5</vt:i4>
      </vt:variant>
      <vt:variant>
        <vt:lpwstr>http://www.nbl.doe.gov/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subject/>
  <dc:creator>Zsolt</dc:creator>
  <cp:keywords/>
  <cp:lastModifiedBy>PICART Sebastien</cp:lastModifiedBy>
  <cp:revision>3</cp:revision>
  <cp:lastPrinted>2019-12-20T10:10:00Z</cp:lastPrinted>
  <dcterms:created xsi:type="dcterms:W3CDTF">2020-02-25T13:53:00Z</dcterms:created>
  <dcterms:modified xsi:type="dcterms:W3CDTF">2020-02-25T14:59:00Z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id="eQI6QrlK"/&gt;&lt;style id="http://www.zotero.org/styles/journal-of-radioanalytical-and-nuclear-chemistry" hasBibliography="1" bibliographyStyleHasBeenSet="1"/&gt;&lt;prefs&gt;&lt;pref name="fieldType" value="Fiel</vt:lpwstr>
  </property>
  <property fmtid="{D5CDD505-2E9C-101B-9397-08002B2CF9AE}" pid="3" name="ZOTERO_PREF_2">
    <vt:lpwstr>d"/&gt;&lt;pref name="automaticJournalAbbreviations" value="true"/&gt;&lt;pref name="noteType" value="0"/&gt;&lt;/prefs&gt;&lt;/data&gt;</vt:lpwstr>
  </property>
  <property fmtid="{D5CDD505-2E9C-101B-9397-08002B2CF9AE}" pid="4" name="ContentTypeId">
    <vt:lpwstr>0x010100D14D93242A0E4F2C80D6AFEF30EB1A1500C8D8F1CBEA868F4A81BD61980E4B7197</vt:lpwstr>
  </property>
</Properties>
</file>